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923F" w14:textId="6A620875" w:rsidR="003077DD" w:rsidRDefault="003077DD" w:rsidP="008E10BF">
      <w:pPr>
        <w:spacing w:after="0" w:line="240" w:lineRule="auto"/>
        <w:jc w:val="right"/>
        <w:rPr>
          <w:szCs w:val="24"/>
        </w:rPr>
      </w:pPr>
      <w:proofErr w:type="spellStart"/>
      <w:proofErr w:type="gramStart"/>
      <w:r w:rsidRPr="003077DD">
        <w:rPr>
          <w:szCs w:val="24"/>
        </w:rPr>
        <w:t>doi</w:t>
      </w:r>
      <w:proofErr w:type="spellEnd"/>
      <w:proofErr w:type="gramEnd"/>
      <w:r w:rsidRPr="003077DD">
        <w:rPr>
          <w:szCs w:val="24"/>
        </w:rPr>
        <w:t>: 10.31134/AP.93.s1.1</w:t>
      </w:r>
      <w:r w:rsidR="001562CD">
        <w:rPr>
          <w:szCs w:val="24"/>
        </w:rPr>
        <w:t>4</w:t>
      </w:r>
    </w:p>
    <w:p w14:paraId="78E79547" w14:textId="3D979867" w:rsidR="003077DD" w:rsidRDefault="003077DD" w:rsidP="008E10BF">
      <w:pPr>
        <w:spacing w:after="0" w:line="240" w:lineRule="auto"/>
        <w:jc w:val="right"/>
        <w:rPr>
          <w:szCs w:val="24"/>
        </w:rPr>
      </w:pPr>
      <w:r w:rsidRPr="003077DD">
        <w:rPr>
          <w:szCs w:val="24"/>
        </w:rPr>
        <w:t>Caso clínico</w:t>
      </w:r>
    </w:p>
    <w:p w14:paraId="735A2B08" w14:textId="77777777" w:rsidR="003077DD" w:rsidRDefault="003077DD" w:rsidP="008E10BF">
      <w:pPr>
        <w:spacing w:after="0" w:line="240" w:lineRule="auto"/>
        <w:rPr>
          <w:szCs w:val="24"/>
        </w:rPr>
      </w:pPr>
    </w:p>
    <w:p w14:paraId="02105714" w14:textId="2803AA8D" w:rsidR="003077DD" w:rsidRPr="003077DD" w:rsidRDefault="003077DD" w:rsidP="008E10BF">
      <w:pPr>
        <w:spacing w:after="0" w:line="240" w:lineRule="auto"/>
        <w:jc w:val="center"/>
        <w:rPr>
          <w:b/>
          <w:bCs/>
          <w:sz w:val="28"/>
          <w:szCs w:val="28"/>
        </w:rPr>
      </w:pPr>
      <w:r w:rsidRPr="003077DD">
        <w:rPr>
          <w:b/>
          <w:bCs/>
          <w:sz w:val="28"/>
          <w:szCs w:val="28"/>
        </w:rPr>
        <w:t>Síndrome multisistémico post COVID-19 y dificultad en su diagnóstico etiológico. A propósito de un caso clínico</w:t>
      </w:r>
    </w:p>
    <w:p w14:paraId="47E93D68" w14:textId="77777777" w:rsidR="003077DD" w:rsidRPr="003077DD" w:rsidRDefault="003077DD" w:rsidP="008E10BF">
      <w:pPr>
        <w:spacing w:after="0" w:line="240" w:lineRule="auto"/>
        <w:jc w:val="center"/>
        <w:rPr>
          <w:b/>
          <w:bCs/>
          <w:sz w:val="28"/>
          <w:szCs w:val="28"/>
        </w:rPr>
      </w:pPr>
      <w:r w:rsidRPr="003077DD">
        <w:rPr>
          <w:b/>
          <w:bCs/>
          <w:sz w:val="28"/>
          <w:szCs w:val="28"/>
          <w:lang w:val="en-US"/>
        </w:rPr>
        <w:t xml:space="preserve">Multisystem post COVID-19 syndrome and its difficult etiological diagnosis. </w:t>
      </w:r>
      <w:r w:rsidRPr="003077DD">
        <w:rPr>
          <w:b/>
          <w:bCs/>
          <w:sz w:val="28"/>
          <w:szCs w:val="28"/>
        </w:rPr>
        <w:t xml:space="preserve">A </w:t>
      </w:r>
      <w:proofErr w:type="spellStart"/>
      <w:r w:rsidRPr="003077DD">
        <w:rPr>
          <w:b/>
          <w:bCs/>
          <w:sz w:val="28"/>
          <w:szCs w:val="28"/>
        </w:rPr>
        <w:t>clinical</w:t>
      </w:r>
      <w:proofErr w:type="spellEnd"/>
      <w:r w:rsidRPr="003077DD">
        <w:rPr>
          <w:b/>
          <w:bCs/>
          <w:sz w:val="28"/>
          <w:szCs w:val="28"/>
        </w:rPr>
        <w:t xml:space="preserve"> case</w:t>
      </w:r>
    </w:p>
    <w:p w14:paraId="59E59FE4" w14:textId="77777777" w:rsidR="003077DD" w:rsidRPr="003077DD" w:rsidRDefault="003077DD" w:rsidP="008E10BF">
      <w:pPr>
        <w:spacing w:after="0" w:line="240" w:lineRule="auto"/>
        <w:jc w:val="center"/>
        <w:rPr>
          <w:b/>
          <w:bCs/>
          <w:sz w:val="28"/>
          <w:szCs w:val="28"/>
        </w:rPr>
      </w:pPr>
      <w:r w:rsidRPr="003077DD">
        <w:rPr>
          <w:b/>
          <w:bCs/>
          <w:sz w:val="28"/>
          <w:szCs w:val="28"/>
        </w:rPr>
        <w:t xml:space="preserve">Síndrome </w:t>
      </w:r>
      <w:proofErr w:type="spellStart"/>
      <w:r w:rsidRPr="003077DD">
        <w:rPr>
          <w:b/>
          <w:bCs/>
          <w:sz w:val="28"/>
          <w:szCs w:val="28"/>
        </w:rPr>
        <w:t>multissistêmica</w:t>
      </w:r>
      <w:proofErr w:type="spellEnd"/>
      <w:r w:rsidRPr="003077DD">
        <w:rPr>
          <w:b/>
          <w:bCs/>
          <w:sz w:val="28"/>
          <w:szCs w:val="28"/>
        </w:rPr>
        <w:t xml:space="preserve"> </w:t>
      </w:r>
      <w:proofErr w:type="spellStart"/>
      <w:r w:rsidRPr="003077DD">
        <w:rPr>
          <w:b/>
          <w:bCs/>
          <w:sz w:val="28"/>
          <w:szCs w:val="28"/>
        </w:rPr>
        <w:t>pós</w:t>
      </w:r>
      <w:proofErr w:type="spellEnd"/>
      <w:r w:rsidRPr="003077DD">
        <w:rPr>
          <w:b/>
          <w:bCs/>
          <w:sz w:val="28"/>
          <w:szCs w:val="28"/>
        </w:rPr>
        <w:t xml:space="preserve"> COVID-19 e a </w:t>
      </w:r>
      <w:proofErr w:type="spellStart"/>
      <w:r w:rsidRPr="003077DD">
        <w:rPr>
          <w:b/>
          <w:bCs/>
          <w:sz w:val="28"/>
          <w:szCs w:val="28"/>
        </w:rPr>
        <w:t>dificuldade</w:t>
      </w:r>
      <w:proofErr w:type="spellEnd"/>
      <w:r w:rsidRPr="003077DD">
        <w:rPr>
          <w:b/>
          <w:bCs/>
          <w:sz w:val="28"/>
          <w:szCs w:val="28"/>
        </w:rPr>
        <w:t xml:space="preserve"> no </w:t>
      </w:r>
      <w:proofErr w:type="spellStart"/>
      <w:r w:rsidRPr="003077DD">
        <w:rPr>
          <w:b/>
          <w:bCs/>
          <w:sz w:val="28"/>
          <w:szCs w:val="28"/>
        </w:rPr>
        <w:t>seu</w:t>
      </w:r>
      <w:proofErr w:type="spellEnd"/>
      <w:r w:rsidRPr="003077DD">
        <w:rPr>
          <w:b/>
          <w:bCs/>
          <w:sz w:val="28"/>
          <w:szCs w:val="28"/>
        </w:rPr>
        <w:t xml:space="preserve"> diagnóstico </w:t>
      </w:r>
      <w:proofErr w:type="spellStart"/>
      <w:r w:rsidRPr="003077DD">
        <w:rPr>
          <w:b/>
          <w:bCs/>
          <w:sz w:val="28"/>
          <w:szCs w:val="28"/>
        </w:rPr>
        <w:t>etiologico</w:t>
      </w:r>
      <w:proofErr w:type="spellEnd"/>
      <w:r w:rsidRPr="003077DD">
        <w:rPr>
          <w:b/>
          <w:bCs/>
          <w:sz w:val="28"/>
          <w:szCs w:val="28"/>
        </w:rPr>
        <w:t>. Relato de caso clínico</w:t>
      </w:r>
    </w:p>
    <w:p w14:paraId="5332D806" w14:textId="77777777" w:rsidR="003077DD" w:rsidRDefault="003077DD" w:rsidP="008E10BF">
      <w:pPr>
        <w:spacing w:after="0" w:line="240" w:lineRule="auto"/>
        <w:rPr>
          <w:szCs w:val="24"/>
        </w:rPr>
      </w:pPr>
    </w:p>
    <w:p w14:paraId="2067227E" w14:textId="53DA46BF" w:rsidR="003077DD" w:rsidRDefault="003077DD" w:rsidP="008E10BF">
      <w:pPr>
        <w:spacing w:after="0" w:line="240" w:lineRule="auto"/>
        <w:jc w:val="left"/>
        <w:rPr>
          <w:szCs w:val="24"/>
        </w:rPr>
      </w:pPr>
      <w:r w:rsidRPr="003077DD">
        <w:rPr>
          <w:szCs w:val="24"/>
        </w:rPr>
        <w:t>Natalia Martínez</w:t>
      </w:r>
      <w:r w:rsidRPr="003077DD">
        <w:rPr>
          <w:szCs w:val="24"/>
          <w:vertAlign w:val="superscript"/>
        </w:rPr>
        <w:t>1</w:t>
      </w:r>
      <w:r>
        <w:rPr>
          <w:szCs w:val="24"/>
        </w:rPr>
        <w:t xml:space="preserve">, </w:t>
      </w:r>
      <w:r w:rsidR="00D00CE2" w:rsidRPr="00D00CE2">
        <w:rPr>
          <w:szCs w:val="24"/>
        </w:rPr>
        <w:t>ORCID 0000-0002-8116-6138</w:t>
      </w:r>
    </w:p>
    <w:p w14:paraId="1B0E816A" w14:textId="34F98C8D" w:rsidR="003077DD" w:rsidRDefault="003077DD" w:rsidP="008E10BF">
      <w:pPr>
        <w:spacing w:after="0" w:line="240" w:lineRule="auto"/>
        <w:jc w:val="left"/>
        <w:rPr>
          <w:szCs w:val="24"/>
        </w:rPr>
      </w:pPr>
      <w:r w:rsidRPr="003077DD">
        <w:rPr>
          <w:szCs w:val="24"/>
        </w:rPr>
        <w:t>Claudia Venturino</w:t>
      </w:r>
      <w:r w:rsidRPr="003077DD">
        <w:rPr>
          <w:szCs w:val="24"/>
          <w:vertAlign w:val="superscript"/>
        </w:rPr>
        <w:t>2</w:t>
      </w:r>
      <w:r>
        <w:rPr>
          <w:szCs w:val="24"/>
        </w:rPr>
        <w:t xml:space="preserve">, </w:t>
      </w:r>
      <w:r w:rsidR="00D00CE2" w:rsidRPr="00D00CE2">
        <w:rPr>
          <w:szCs w:val="24"/>
        </w:rPr>
        <w:t>ORCID 0000-0003-3168-8525</w:t>
      </w:r>
    </w:p>
    <w:p w14:paraId="6522216A" w14:textId="373E561F" w:rsidR="003077DD" w:rsidRDefault="003077DD" w:rsidP="008E10BF">
      <w:pPr>
        <w:spacing w:after="0" w:line="240" w:lineRule="auto"/>
        <w:jc w:val="left"/>
        <w:rPr>
          <w:szCs w:val="24"/>
        </w:rPr>
      </w:pPr>
      <w:r w:rsidRPr="003077DD">
        <w:rPr>
          <w:szCs w:val="24"/>
        </w:rPr>
        <w:t>Silvia Gibara</w:t>
      </w:r>
      <w:r w:rsidRPr="003077DD">
        <w:rPr>
          <w:szCs w:val="24"/>
          <w:vertAlign w:val="superscript"/>
        </w:rPr>
        <w:t>3</w:t>
      </w:r>
      <w:r>
        <w:rPr>
          <w:szCs w:val="24"/>
        </w:rPr>
        <w:t xml:space="preserve">, </w:t>
      </w:r>
      <w:r w:rsidR="00D00CE2" w:rsidRPr="00D00CE2">
        <w:rPr>
          <w:szCs w:val="24"/>
        </w:rPr>
        <w:t>ORCID 0000-0001-8648-4517</w:t>
      </w:r>
    </w:p>
    <w:p w14:paraId="764A0712" w14:textId="44D54CDA" w:rsidR="003077DD" w:rsidRDefault="003077DD" w:rsidP="008E10BF">
      <w:pPr>
        <w:spacing w:after="0" w:line="240" w:lineRule="auto"/>
        <w:jc w:val="left"/>
        <w:rPr>
          <w:szCs w:val="24"/>
        </w:rPr>
      </w:pPr>
      <w:r w:rsidRPr="003077DD">
        <w:rPr>
          <w:szCs w:val="24"/>
        </w:rPr>
        <w:t>Adriana Mata</w:t>
      </w:r>
      <w:r w:rsidRPr="003077DD">
        <w:rPr>
          <w:szCs w:val="24"/>
          <w:vertAlign w:val="superscript"/>
        </w:rPr>
        <w:t>4</w:t>
      </w:r>
      <w:r>
        <w:rPr>
          <w:szCs w:val="24"/>
        </w:rPr>
        <w:t xml:space="preserve">, </w:t>
      </w:r>
      <w:r w:rsidR="00D00CE2" w:rsidRPr="00D00CE2">
        <w:rPr>
          <w:szCs w:val="24"/>
        </w:rPr>
        <w:t>ORCID 0000-0003-0666-947X</w:t>
      </w:r>
    </w:p>
    <w:p w14:paraId="05B0070C" w14:textId="187B9A74" w:rsidR="003077DD" w:rsidRDefault="003077DD" w:rsidP="008E10BF">
      <w:pPr>
        <w:spacing w:after="0" w:line="240" w:lineRule="auto"/>
        <w:jc w:val="left"/>
        <w:rPr>
          <w:szCs w:val="24"/>
        </w:rPr>
      </w:pPr>
      <w:r w:rsidRPr="003077DD">
        <w:rPr>
          <w:szCs w:val="24"/>
        </w:rPr>
        <w:t>Gonzalo Cabrera</w:t>
      </w:r>
      <w:r w:rsidRPr="003077DD">
        <w:rPr>
          <w:szCs w:val="24"/>
          <w:vertAlign w:val="superscript"/>
        </w:rPr>
        <w:t>4</w:t>
      </w:r>
      <w:r>
        <w:rPr>
          <w:szCs w:val="24"/>
        </w:rPr>
        <w:t xml:space="preserve">, </w:t>
      </w:r>
      <w:r w:rsidR="00D00CE2" w:rsidRPr="00D00CE2">
        <w:rPr>
          <w:szCs w:val="24"/>
        </w:rPr>
        <w:t>ORCID 0000-0002-1472-2608</w:t>
      </w:r>
    </w:p>
    <w:p w14:paraId="3A0AB82B" w14:textId="7EBDE30A" w:rsidR="003077DD" w:rsidRDefault="003077DD" w:rsidP="008E10BF">
      <w:pPr>
        <w:spacing w:after="0" w:line="240" w:lineRule="auto"/>
        <w:jc w:val="left"/>
        <w:rPr>
          <w:szCs w:val="24"/>
        </w:rPr>
      </w:pPr>
      <w:r w:rsidRPr="003077DD">
        <w:rPr>
          <w:szCs w:val="24"/>
        </w:rPr>
        <w:t>Alejandro Finozzi</w:t>
      </w:r>
      <w:r w:rsidRPr="003077DD">
        <w:rPr>
          <w:szCs w:val="24"/>
          <w:vertAlign w:val="superscript"/>
        </w:rPr>
        <w:t>4</w:t>
      </w:r>
      <w:r>
        <w:rPr>
          <w:szCs w:val="24"/>
        </w:rPr>
        <w:t xml:space="preserve">, </w:t>
      </w:r>
      <w:r w:rsidR="00D00CE2" w:rsidRPr="00D00CE2">
        <w:rPr>
          <w:szCs w:val="24"/>
        </w:rPr>
        <w:t>ORCID 0000-0003-3961-407X</w:t>
      </w:r>
    </w:p>
    <w:p w14:paraId="10043462" w14:textId="5DE41020" w:rsidR="003077DD" w:rsidRDefault="003077DD" w:rsidP="008E10BF">
      <w:pPr>
        <w:spacing w:after="0" w:line="240" w:lineRule="auto"/>
        <w:jc w:val="left"/>
        <w:rPr>
          <w:szCs w:val="24"/>
        </w:rPr>
      </w:pPr>
      <w:r w:rsidRPr="003077DD">
        <w:rPr>
          <w:szCs w:val="24"/>
        </w:rPr>
        <w:t>Rosario San Martín</w:t>
      </w:r>
      <w:r w:rsidRPr="003077DD">
        <w:rPr>
          <w:szCs w:val="24"/>
          <w:vertAlign w:val="superscript"/>
        </w:rPr>
        <w:t>5</w:t>
      </w:r>
      <w:r>
        <w:rPr>
          <w:szCs w:val="24"/>
        </w:rPr>
        <w:t xml:space="preserve">, </w:t>
      </w:r>
      <w:r w:rsidR="00D00CE2" w:rsidRPr="00D00CE2">
        <w:rPr>
          <w:szCs w:val="24"/>
        </w:rPr>
        <w:t>ORCID 0000-0002-5317-515X</w:t>
      </w:r>
    </w:p>
    <w:p w14:paraId="7E123FAF" w14:textId="71CEF118" w:rsidR="003077DD" w:rsidRDefault="003077DD" w:rsidP="008E10BF">
      <w:pPr>
        <w:spacing w:after="0" w:line="240" w:lineRule="auto"/>
        <w:jc w:val="left"/>
        <w:rPr>
          <w:szCs w:val="24"/>
        </w:rPr>
      </w:pPr>
      <w:r w:rsidRPr="003077DD">
        <w:rPr>
          <w:szCs w:val="24"/>
        </w:rPr>
        <w:t>Héctor Chiparelli</w:t>
      </w:r>
      <w:r w:rsidRPr="003077DD">
        <w:rPr>
          <w:szCs w:val="24"/>
          <w:vertAlign w:val="superscript"/>
        </w:rPr>
        <w:t>6</w:t>
      </w:r>
      <w:r>
        <w:rPr>
          <w:szCs w:val="24"/>
        </w:rPr>
        <w:t xml:space="preserve">, </w:t>
      </w:r>
      <w:r w:rsidR="00D00CE2" w:rsidRPr="00D00CE2">
        <w:rPr>
          <w:szCs w:val="24"/>
        </w:rPr>
        <w:t>ORCID 0000-00052-8713-1067</w:t>
      </w:r>
    </w:p>
    <w:p w14:paraId="414F291C" w14:textId="758A031C" w:rsidR="003077DD" w:rsidRDefault="003077DD" w:rsidP="008E10BF">
      <w:pPr>
        <w:spacing w:after="0" w:line="240" w:lineRule="auto"/>
        <w:jc w:val="left"/>
        <w:rPr>
          <w:szCs w:val="24"/>
        </w:rPr>
      </w:pPr>
      <w:r w:rsidRPr="003077DD">
        <w:rPr>
          <w:szCs w:val="24"/>
        </w:rPr>
        <w:t>María Rosa Flieller</w:t>
      </w:r>
      <w:r w:rsidRPr="003077DD">
        <w:rPr>
          <w:szCs w:val="24"/>
          <w:vertAlign w:val="superscript"/>
        </w:rPr>
        <w:t>7</w:t>
      </w:r>
      <w:r>
        <w:rPr>
          <w:szCs w:val="24"/>
        </w:rPr>
        <w:t xml:space="preserve">, </w:t>
      </w:r>
      <w:r w:rsidR="00D00CE2" w:rsidRPr="00D00CE2">
        <w:rPr>
          <w:szCs w:val="24"/>
        </w:rPr>
        <w:t>ORCID 0000-0002-5507-6534</w:t>
      </w:r>
    </w:p>
    <w:p w14:paraId="4924DE3C" w14:textId="71A03040" w:rsidR="003077DD" w:rsidRDefault="003077DD" w:rsidP="008E10BF">
      <w:pPr>
        <w:spacing w:after="0" w:line="240" w:lineRule="auto"/>
        <w:jc w:val="left"/>
        <w:rPr>
          <w:szCs w:val="24"/>
        </w:rPr>
      </w:pPr>
      <w:r w:rsidRPr="003077DD">
        <w:rPr>
          <w:szCs w:val="24"/>
        </w:rPr>
        <w:t>Karina Machado</w:t>
      </w:r>
      <w:r w:rsidRPr="003077DD">
        <w:rPr>
          <w:szCs w:val="24"/>
          <w:vertAlign w:val="superscript"/>
        </w:rPr>
        <w:t>8</w:t>
      </w:r>
      <w:r>
        <w:rPr>
          <w:szCs w:val="24"/>
        </w:rPr>
        <w:t xml:space="preserve">, </w:t>
      </w:r>
      <w:r w:rsidR="00D00CE2" w:rsidRPr="00D00CE2">
        <w:rPr>
          <w:szCs w:val="24"/>
        </w:rPr>
        <w:t>ORCID 0000-0003-0283-7851</w:t>
      </w:r>
    </w:p>
    <w:p w14:paraId="76809746" w14:textId="00D3DD4B" w:rsidR="003077DD" w:rsidRDefault="003077DD" w:rsidP="008E10BF">
      <w:pPr>
        <w:spacing w:after="0" w:line="240" w:lineRule="auto"/>
        <w:jc w:val="left"/>
        <w:rPr>
          <w:szCs w:val="24"/>
        </w:rPr>
      </w:pPr>
      <w:r w:rsidRPr="003077DD">
        <w:rPr>
          <w:szCs w:val="24"/>
        </w:rPr>
        <w:t>Federica Badia</w:t>
      </w:r>
      <w:r w:rsidRPr="003077DD">
        <w:rPr>
          <w:szCs w:val="24"/>
          <w:vertAlign w:val="superscript"/>
        </w:rPr>
        <w:t>9</w:t>
      </w:r>
      <w:r>
        <w:rPr>
          <w:szCs w:val="24"/>
        </w:rPr>
        <w:t xml:space="preserve">, </w:t>
      </w:r>
      <w:r w:rsidR="00D00CE2" w:rsidRPr="00D00CE2">
        <w:rPr>
          <w:szCs w:val="24"/>
        </w:rPr>
        <w:t>ORCID 0000-0003-1434-6048</w:t>
      </w:r>
    </w:p>
    <w:p w14:paraId="23BB485C" w14:textId="2CF92449" w:rsidR="003077DD" w:rsidRDefault="003077DD" w:rsidP="008E10BF">
      <w:pPr>
        <w:spacing w:after="0" w:line="240" w:lineRule="auto"/>
        <w:jc w:val="left"/>
        <w:rPr>
          <w:szCs w:val="24"/>
        </w:rPr>
      </w:pPr>
      <w:r w:rsidRPr="003077DD">
        <w:rPr>
          <w:szCs w:val="24"/>
        </w:rPr>
        <w:t>Catalina P</w:t>
      </w:r>
      <w:r w:rsidR="00D00CE2">
        <w:rPr>
          <w:szCs w:val="24"/>
        </w:rPr>
        <w:t>í</w:t>
      </w:r>
      <w:r w:rsidRPr="003077DD">
        <w:rPr>
          <w:szCs w:val="24"/>
        </w:rPr>
        <w:t>rez</w:t>
      </w:r>
      <w:r w:rsidRPr="003077DD">
        <w:rPr>
          <w:szCs w:val="24"/>
          <w:vertAlign w:val="superscript"/>
        </w:rPr>
        <w:t>10</w:t>
      </w:r>
      <w:r>
        <w:rPr>
          <w:szCs w:val="24"/>
        </w:rPr>
        <w:t xml:space="preserve">, </w:t>
      </w:r>
      <w:r w:rsidR="00D00CE2" w:rsidRPr="00D00CE2">
        <w:rPr>
          <w:szCs w:val="24"/>
        </w:rPr>
        <w:t>ORCID 0000-0002-6165-0678</w:t>
      </w:r>
    </w:p>
    <w:p w14:paraId="7119FC39" w14:textId="119A6E86" w:rsidR="003077DD" w:rsidRDefault="003077DD" w:rsidP="008E10BF">
      <w:pPr>
        <w:spacing w:after="0" w:line="240" w:lineRule="auto"/>
        <w:jc w:val="left"/>
        <w:rPr>
          <w:szCs w:val="24"/>
        </w:rPr>
      </w:pPr>
    </w:p>
    <w:p w14:paraId="781D38F4" w14:textId="6CF1C6C1" w:rsidR="00D00CE2" w:rsidRDefault="00D00CE2" w:rsidP="008E10BF">
      <w:pPr>
        <w:spacing w:after="0" w:line="240" w:lineRule="auto"/>
        <w:jc w:val="left"/>
        <w:rPr>
          <w:szCs w:val="24"/>
        </w:rPr>
      </w:pPr>
      <w:r w:rsidRPr="00D00CE2">
        <w:rPr>
          <w:szCs w:val="24"/>
          <w:vertAlign w:val="superscript"/>
        </w:rPr>
        <w:t>1</w:t>
      </w:r>
      <w:r w:rsidRPr="00D00CE2">
        <w:rPr>
          <w:szCs w:val="24"/>
        </w:rPr>
        <w:t>Residente Pediatría. Clínica Pediátrica A. CHPR. COMEPA.</w:t>
      </w:r>
      <w:r>
        <w:rPr>
          <w:szCs w:val="24"/>
        </w:rPr>
        <w:t xml:space="preserve"> </w:t>
      </w:r>
      <w:r w:rsidRPr="003077DD">
        <w:rPr>
          <w:szCs w:val="24"/>
        </w:rPr>
        <w:t>Correo electrónico: natalia.com@gmail.com</w:t>
      </w:r>
    </w:p>
    <w:p w14:paraId="33027AE1" w14:textId="1262C9D6" w:rsidR="00D00CE2" w:rsidRPr="00D00CE2" w:rsidRDefault="00D00CE2" w:rsidP="008E10BF">
      <w:pPr>
        <w:spacing w:after="0" w:line="240" w:lineRule="auto"/>
        <w:jc w:val="left"/>
        <w:rPr>
          <w:szCs w:val="24"/>
        </w:rPr>
      </w:pPr>
      <w:r w:rsidRPr="00D00CE2">
        <w:rPr>
          <w:szCs w:val="24"/>
          <w:vertAlign w:val="superscript"/>
        </w:rPr>
        <w:t>2</w:t>
      </w:r>
      <w:r w:rsidRPr="00D00CE2">
        <w:rPr>
          <w:szCs w:val="24"/>
        </w:rPr>
        <w:t>Jefa Servicio Pediatría. COMEPA.</w:t>
      </w:r>
    </w:p>
    <w:p w14:paraId="0130DFAF" w14:textId="72E5C39F" w:rsidR="00D00CE2" w:rsidRPr="00D00CE2" w:rsidRDefault="00D00CE2" w:rsidP="008E10BF">
      <w:pPr>
        <w:spacing w:after="0" w:line="240" w:lineRule="auto"/>
        <w:jc w:val="left"/>
        <w:rPr>
          <w:szCs w:val="24"/>
        </w:rPr>
      </w:pPr>
      <w:r w:rsidRPr="00D00CE2">
        <w:rPr>
          <w:szCs w:val="24"/>
          <w:vertAlign w:val="superscript"/>
        </w:rPr>
        <w:t>3</w:t>
      </w:r>
      <w:r w:rsidRPr="00D00CE2">
        <w:rPr>
          <w:szCs w:val="24"/>
        </w:rPr>
        <w:t>Coordinadora Servicio Pediatría. COMEPA.</w:t>
      </w:r>
    </w:p>
    <w:p w14:paraId="4B01FD29" w14:textId="738EA365" w:rsidR="00D00CE2" w:rsidRPr="00D00CE2" w:rsidRDefault="00D00CE2" w:rsidP="008E10BF">
      <w:pPr>
        <w:spacing w:after="0" w:line="240" w:lineRule="auto"/>
        <w:jc w:val="left"/>
        <w:rPr>
          <w:szCs w:val="24"/>
        </w:rPr>
      </w:pPr>
      <w:r w:rsidRPr="00D00CE2">
        <w:rPr>
          <w:szCs w:val="24"/>
          <w:vertAlign w:val="superscript"/>
        </w:rPr>
        <w:t>4</w:t>
      </w:r>
      <w:r w:rsidRPr="00D00CE2">
        <w:rPr>
          <w:szCs w:val="24"/>
        </w:rPr>
        <w:t>Pediatra Servicio Pediatría. COMEPA.</w:t>
      </w:r>
    </w:p>
    <w:p w14:paraId="2659FDC4" w14:textId="421F449D" w:rsidR="00D00CE2" w:rsidRPr="00D00CE2" w:rsidRDefault="00D00CE2" w:rsidP="008E10BF">
      <w:pPr>
        <w:spacing w:after="0" w:line="240" w:lineRule="auto"/>
        <w:jc w:val="left"/>
        <w:rPr>
          <w:szCs w:val="24"/>
        </w:rPr>
      </w:pPr>
      <w:r w:rsidRPr="00D00CE2">
        <w:rPr>
          <w:szCs w:val="24"/>
          <w:vertAlign w:val="superscript"/>
        </w:rPr>
        <w:t>5</w:t>
      </w:r>
      <w:r w:rsidRPr="00D00CE2">
        <w:rPr>
          <w:szCs w:val="24"/>
        </w:rPr>
        <w:t>Médica Especialista. Laboratorio Análisis Clínicos. Subdirectora Depto. Laboratorio Salud Pública.</w:t>
      </w:r>
    </w:p>
    <w:p w14:paraId="65690E69" w14:textId="44981CAB" w:rsidR="00D00CE2" w:rsidRPr="00D00CE2" w:rsidRDefault="00D00CE2" w:rsidP="008E10BF">
      <w:pPr>
        <w:spacing w:after="0" w:line="240" w:lineRule="auto"/>
        <w:jc w:val="left"/>
        <w:rPr>
          <w:szCs w:val="24"/>
        </w:rPr>
      </w:pPr>
      <w:r w:rsidRPr="00D00CE2">
        <w:rPr>
          <w:szCs w:val="24"/>
          <w:vertAlign w:val="superscript"/>
        </w:rPr>
        <w:t>6</w:t>
      </w:r>
      <w:r w:rsidRPr="00D00CE2">
        <w:rPr>
          <w:szCs w:val="24"/>
        </w:rPr>
        <w:t>Médico Microbiólogo. Jefe Unidad Virología. DLSP.</w:t>
      </w:r>
    </w:p>
    <w:p w14:paraId="0A5AB38E" w14:textId="1A909999" w:rsidR="00D00CE2" w:rsidRPr="00D00CE2" w:rsidRDefault="00D00CE2" w:rsidP="008E10BF">
      <w:pPr>
        <w:spacing w:after="0" w:line="240" w:lineRule="auto"/>
        <w:jc w:val="left"/>
        <w:rPr>
          <w:szCs w:val="24"/>
        </w:rPr>
      </w:pPr>
      <w:r w:rsidRPr="00D00CE2">
        <w:rPr>
          <w:szCs w:val="24"/>
          <w:vertAlign w:val="superscript"/>
        </w:rPr>
        <w:t>7</w:t>
      </w:r>
      <w:r w:rsidRPr="00D00CE2">
        <w:rPr>
          <w:szCs w:val="24"/>
        </w:rPr>
        <w:t>Depto. Laboratorio Salud Pública. MSP.</w:t>
      </w:r>
    </w:p>
    <w:p w14:paraId="54A70728" w14:textId="38615561" w:rsidR="00D00CE2" w:rsidRPr="00D00CE2" w:rsidRDefault="00D00CE2" w:rsidP="008E10BF">
      <w:pPr>
        <w:spacing w:after="0" w:line="240" w:lineRule="auto"/>
        <w:jc w:val="left"/>
        <w:rPr>
          <w:szCs w:val="24"/>
        </w:rPr>
      </w:pPr>
      <w:r w:rsidRPr="00D00CE2">
        <w:rPr>
          <w:szCs w:val="24"/>
          <w:vertAlign w:val="superscript"/>
        </w:rPr>
        <w:t>8</w:t>
      </w:r>
      <w:r w:rsidRPr="00D00CE2">
        <w:rPr>
          <w:szCs w:val="24"/>
        </w:rPr>
        <w:t>Prof. Agda. Clínica Pediátrica A. CHPR. Facultad de Medicina. UDELAR. Depto. Pediatría y Especialidades. HP. CHPR.</w:t>
      </w:r>
    </w:p>
    <w:p w14:paraId="26CA68B1" w14:textId="09153911" w:rsidR="00D00CE2" w:rsidRPr="00D00CE2" w:rsidRDefault="00D00CE2" w:rsidP="008E10BF">
      <w:pPr>
        <w:spacing w:after="0" w:line="240" w:lineRule="auto"/>
        <w:jc w:val="left"/>
        <w:rPr>
          <w:szCs w:val="24"/>
        </w:rPr>
      </w:pPr>
      <w:r w:rsidRPr="00D00CE2">
        <w:rPr>
          <w:szCs w:val="24"/>
          <w:vertAlign w:val="superscript"/>
        </w:rPr>
        <w:t>9</w:t>
      </w:r>
      <w:r w:rsidRPr="00D00CE2">
        <w:rPr>
          <w:szCs w:val="24"/>
        </w:rPr>
        <w:t>Prof. Adj. Clínica Pediátrica A. CHPR. Facultad de Medicina. UDELAR.</w:t>
      </w:r>
    </w:p>
    <w:p w14:paraId="3E1F1C00" w14:textId="0E3AF7F4" w:rsidR="00D00CE2" w:rsidRPr="00D00CE2" w:rsidRDefault="00D00CE2" w:rsidP="008E10BF">
      <w:pPr>
        <w:spacing w:after="0" w:line="240" w:lineRule="auto"/>
        <w:jc w:val="left"/>
        <w:rPr>
          <w:szCs w:val="24"/>
        </w:rPr>
      </w:pPr>
      <w:r w:rsidRPr="00D00CE2">
        <w:rPr>
          <w:szCs w:val="24"/>
          <w:vertAlign w:val="superscript"/>
        </w:rPr>
        <w:t>10</w:t>
      </w:r>
      <w:r w:rsidRPr="00D00CE2">
        <w:rPr>
          <w:szCs w:val="24"/>
        </w:rPr>
        <w:t>Prof. Directora. Clínica Pediátrica A. CHPR. Facultad de Medicina. UDELAR.</w:t>
      </w:r>
    </w:p>
    <w:p w14:paraId="33BD20DC" w14:textId="77777777" w:rsidR="00D142E8" w:rsidRDefault="00D142E8" w:rsidP="008E10BF">
      <w:pPr>
        <w:spacing w:after="0" w:line="240" w:lineRule="auto"/>
        <w:jc w:val="left"/>
        <w:rPr>
          <w:szCs w:val="24"/>
        </w:rPr>
      </w:pPr>
    </w:p>
    <w:p w14:paraId="062D4E73" w14:textId="69E4905D" w:rsidR="00036EF0" w:rsidRPr="00D00CE2" w:rsidRDefault="008E10BF" w:rsidP="008E10BF">
      <w:pPr>
        <w:spacing w:after="0" w:line="240" w:lineRule="auto"/>
        <w:jc w:val="left"/>
        <w:rPr>
          <w:b/>
          <w:bCs/>
          <w:szCs w:val="24"/>
        </w:rPr>
      </w:pPr>
      <w:r w:rsidRPr="00D00CE2">
        <w:rPr>
          <w:b/>
          <w:bCs/>
          <w:szCs w:val="24"/>
        </w:rPr>
        <w:t>Resumen</w:t>
      </w:r>
      <w:r w:rsidR="00D00CE2" w:rsidRPr="00D00CE2">
        <w:rPr>
          <w:b/>
          <w:bCs/>
          <w:szCs w:val="24"/>
        </w:rPr>
        <w:t>:</w:t>
      </w:r>
    </w:p>
    <w:p w14:paraId="13275165" w14:textId="77777777" w:rsidR="00036EF0" w:rsidRPr="003077DD" w:rsidRDefault="008E10BF" w:rsidP="008E10BF">
      <w:pPr>
        <w:spacing w:after="0" w:line="240" w:lineRule="auto"/>
        <w:jc w:val="left"/>
        <w:rPr>
          <w:szCs w:val="24"/>
        </w:rPr>
      </w:pPr>
      <w:r w:rsidRPr="003077DD">
        <w:rPr>
          <w:szCs w:val="24"/>
        </w:rPr>
        <w:t>El SARS-CoV-2 afecta a un reducido número de pacientes pediátricos, que en su mayoría son asintomáticos o presentan compromiso respira</w:t>
      </w:r>
      <w:r w:rsidRPr="003077DD">
        <w:rPr>
          <w:szCs w:val="24"/>
        </w:rPr>
        <w:lastRenderedPageBreak/>
        <w:t>torio leve y evolución favorable. Sin embargo, en niños prev</w:t>
      </w:r>
      <w:r w:rsidRPr="003077DD">
        <w:rPr>
          <w:szCs w:val="24"/>
        </w:rPr>
        <w:t>iamente sanos puede aparecer el</w:t>
      </w:r>
      <w:r w:rsidRPr="003077DD">
        <w:rPr>
          <w:rFonts w:cs="Times New Roman"/>
          <w:szCs w:val="24"/>
          <w:rtl/>
          <w:lang w:bidi="ar-YE"/>
        </w:rPr>
        <w:t xml:space="preserve"> </w:t>
      </w:r>
      <w:r w:rsidRPr="003077DD">
        <w:rPr>
          <w:szCs w:val="24"/>
          <w:lang w:bidi="ar-YE"/>
        </w:rPr>
        <w:t xml:space="preserve">síndrome inflamatorio </w:t>
      </w:r>
      <w:proofErr w:type="spellStart"/>
      <w:r w:rsidRPr="003077DD">
        <w:rPr>
          <w:szCs w:val="24"/>
          <w:lang w:bidi="ar-YE"/>
        </w:rPr>
        <w:t>multisistémico</w:t>
      </w:r>
      <w:proofErr w:type="spellEnd"/>
      <w:r w:rsidRPr="003077DD">
        <w:rPr>
          <w:szCs w:val="24"/>
          <w:lang w:bidi="ar-YE"/>
        </w:rPr>
        <w:t xml:space="preserve"> (SIM-C) o similar a Kawasaki (Kawasaki</w:t>
      </w:r>
      <w:r w:rsidRPr="003077DD">
        <w:rPr>
          <w:rFonts w:cs="Times New Roman"/>
          <w:szCs w:val="24"/>
          <w:rtl/>
          <w:lang w:bidi="ar-YE"/>
        </w:rPr>
        <w:t>-</w:t>
      </w:r>
      <w:proofErr w:type="spellStart"/>
      <w:r w:rsidRPr="003077DD">
        <w:rPr>
          <w:i/>
          <w:iCs/>
          <w:szCs w:val="24"/>
        </w:rPr>
        <w:t>like</w:t>
      </w:r>
      <w:proofErr w:type="spellEnd"/>
      <w:r w:rsidRPr="003077DD">
        <w:rPr>
          <w:szCs w:val="24"/>
        </w:rPr>
        <w:t xml:space="preserve">) asociado a la enfermedad por COVID-19, que evolucionan al </w:t>
      </w:r>
      <w:r w:rsidRPr="003077DD">
        <w:rPr>
          <w:i/>
          <w:iCs/>
          <w:szCs w:val="24"/>
        </w:rPr>
        <w:t>shock</w:t>
      </w:r>
      <w:r w:rsidRPr="003077DD">
        <w:rPr>
          <w:szCs w:val="24"/>
        </w:rPr>
        <w:t xml:space="preserve"> y requiere internación en la unidad de cuidados intensivo.</w:t>
      </w:r>
    </w:p>
    <w:p w14:paraId="666A56D4" w14:textId="77777777" w:rsidR="00036EF0" w:rsidRPr="003077DD" w:rsidRDefault="008E10BF" w:rsidP="008E10BF">
      <w:pPr>
        <w:spacing w:after="0" w:line="240" w:lineRule="auto"/>
        <w:jc w:val="left"/>
        <w:rPr>
          <w:szCs w:val="24"/>
        </w:rPr>
      </w:pPr>
      <w:r w:rsidRPr="003077DD">
        <w:rPr>
          <w:szCs w:val="24"/>
        </w:rPr>
        <w:t>Presentamos el caso</w:t>
      </w:r>
      <w:r w:rsidRPr="003077DD">
        <w:rPr>
          <w:szCs w:val="24"/>
        </w:rPr>
        <w:t xml:space="preserve"> de un adolescente con antecedentes ambientales de SARS-CoV-2 37 días antes de su ingreso, que no se teste</w:t>
      </w:r>
      <w:r w:rsidRPr="003077DD">
        <w:rPr>
          <w:szCs w:val="24"/>
          <w:lang w:bidi="ar-YE"/>
        </w:rPr>
        <w:t>ó</w:t>
      </w:r>
      <w:r w:rsidRPr="003077DD">
        <w:rPr>
          <w:szCs w:val="24"/>
        </w:rPr>
        <w:t xml:space="preserve"> en ese momento. Recibe la primera dosis de vacuna Pfizer 15 días antes de la presentación de un cuadro de sintomatología digestiva con dolor abdominal y fiebre, con test de antígenos COVID-19 y PCR viral negativos. Luego de una laparoscopia exploratoria, </w:t>
      </w:r>
      <w:r w:rsidRPr="003077DD">
        <w:rPr>
          <w:szCs w:val="24"/>
        </w:rPr>
        <w:t>al sexto</w:t>
      </w:r>
      <w:r w:rsidRPr="003077DD">
        <w:rPr>
          <w:rFonts w:cs="Times New Roman"/>
          <w:szCs w:val="24"/>
          <w:rtl/>
          <w:lang w:bidi="ar-YE"/>
        </w:rPr>
        <w:t xml:space="preserve"> </w:t>
      </w:r>
      <w:r w:rsidRPr="003077DD">
        <w:rPr>
          <w:szCs w:val="24"/>
          <w:lang w:bidi="ar-YE"/>
        </w:rPr>
        <w:t>día</w:t>
      </w:r>
      <w:r w:rsidRPr="003077DD">
        <w:rPr>
          <w:rFonts w:cs="Times New Roman"/>
          <w:szCs w:val="24"/>
          <w:rtl/>
          <w:lang w:bidi="ar-YE"/>
        </w:rPr>
        <w:t xml:space="preserve"> </w:t>
      </w:r>
      <w:r w:rsidRPr="003077DD">
        <w:rPr>
          <w:szCs w:val="24"/>
          <w:lang w:bidi="ar-YE"/>
        </w:rPr>
        <w:t>de fiebre</w:t>
      </w:r>
      <w:r w:rsidRPr="003077DD">
        <w:rPr>
          <w:szCs w:val="24"/>
        </w:rPr>
        <w:t xml:space="preserve"> y dolor instaló conjuntivitis bilateral no supurada y exantema en tórax, odinofagia, astenia y lengua saburral con fenotipo Kawasaki. La serológica </w:t>
      </w:r>
      <w:proofErr w:type="spellStart"/>
      <w:r w:rsidRPr="003077DD">
        <w:rPr>
          <w:szCs w:val="24"/>
        </w:rPr>
        <w:t>IgG</w:t>
      </w:r>
      <w:proofErr w:type="spellEnd"/>
      <w:r w:rsidRPr="003077DD">
        <w:rPr>
          <w:szCs w:val="24"/>
        </w:rPr>
        <w:t xml:space="preserve"> anti </w:t>
      </w:r>
      <w:proofErr w:type="spellStart"/>
      <w:r w:rsidRPr="003077DD">
        <w:rPr>
          <w:i/>
          <w:iCs/>
          <w:szCs w:val="24"/>
        </w:rPr>
        <w:t>spike</w:t>
      </w:r>
      <w:proofErr w:type="spellEnd"/>
      <w:r w:rsidRPr="003077DD">
        <w:rPr>
          <w:szCs w:val="24"/>
        </w:rPr>
        <w:t xml:space="preserve"> fue positiva y la IgM negativa, con parámetros inflamatorios elevados,</w:t>
      </w:r>
      <w:r w:rsidRPr="003077DD">
        <w:rPr>
          <w:szCs w:val="24"/>
        </w:rPr>
        <w:t xml:space="preserve"> por lo que se planteó un síndrome multisistémico post COVID-19. Recibió tratamiento con inmunoglobulina intravenosa, </w:t>
      </w:r>
      <w:r w:rsidRPr="003077DD">
        <w:rPr>
          <w:szCs w:val="24"/>
          <w:lang w:bidi="ar-YE"/>
        </w:rPr>
        <w:t>ácido acetilsalicílico</w:t>
      </w:r>
      <w:r w:rsidRPr="003077DD">
        <w:rPr>
          <w:rFonts w:cs="Times New Roman"/>
          <w:szCs w:val="24"/>
          <w:rtl/>
          <w:lang w:bidi="ar-YE"/>
        </w:rPr>
        <w:t xml:space="preserve"> </w:t>
      </w:r>
      <w:r w:rsidRPr="003077DD">
        <w:rPr>
          <w:szCs w:val="24"/>
        </w:rPr>
        <w:t>y metilprednisolona. Dada la necesidad de descartar la posibilidad de un evento atribuible a vacunaci</w:t>
      </w:r>
      <w:r w:rsidRPr="003077DD">
        <w:rPr>
          <w:szCs w:val="24"/>
          <w:lang w:bidi="ar-YE"/>
        </w:rPr>
        <w:t>ó</w:t>
      </w:r>
      <w:r w:rsidRPr="003077DD">
        <w:rPr>
          <w:szCs w:val="24"/>
        </w:rPr>
        <w:t>n o inmunizac</w:t>
      </w:r>
      <w:r w:rsidRPr="003077DD">
        <w:rPr>
          <w:szCs w:val="24"/>
        </w:rPr>
        <w:t>ión (ESAVI), se realizó la búsqueda serológica para SARS-CoV-2, en un estudio cualitativo, buscando anticuerpos que no se generan con la vacuna Pfizer, que fueron positivos. De esta forma confirmamos la etiología post COVID-19 y descartamos la etiología po</w:t>
      </w:r>
      <w:r w:rsidRPr="003077DD">
        <w:rPr>
          <w:szCs w:val="24"/>
        </w:rPr>
        <w:t xml:space="preserve">r ESAVI, realizándose además el estudio cuantitativo de los anticuerpos anti </w:t>
      </w:r>
      <w:proofErr w:type="spellStart"/>
      <w:r w:rsidRPr="003077DD">
        <w:rPr>
          <w:i/>
          <w:iCs/>
          <w:szCs w:val="24"/>
        </w:rPr>
        <w:t>spike</w:t>
      </w:r>
      <w:proofErr w:type="spellEnd"/>
      <w:r w:rsidRPr="003077DD">
        <w:rPr>
          <w:szCs w:val="24"/>
        </w:rPr>
        <w:t xml:space="preserve"> con disminución de estos al mes del debut.</w:t>
      </w:r>
    </w:p>
    <w:p w14:paraId="1891FA5C" w14:textId="3E1CC60D" w:rsidR="00036EF0" w:rsidRPr="00D00CE2" w:rsidRDefault="008E10BF" w:rsidP="008E10BF">
      <w:pPr>
        <w:spacing w:after="0" w:line="240" w:lineRule="auto"/>
        <w:jc w:val="left"/>
      </w:pPr>
      <w:r w:rsidRPr="00D00CE2">
        <w:rPr>
          <w:b/>
          <w:bCs/>
        </w:rPr>
        <w:t>Palabras clave:</w:t>
      </w:r>
      <w:r w:rsidRPr="00D00CE2">
        <w:t xml:space="preserve"> Síndrome de respuesta inflamatoria sistémica</w:t>
      </w:r>
      <w:r w:rsidR="00D00CE2">
        <w:t xml:space="preserve">; </w:t>
      </w:r>
      <w:r w:rsidRPr="00D00CE2">
        <w:t>COVID- 19</w:t>
      </w:r>
      <w:r w:rsidR="00D00CE2">
        <w:t xml:space="preserve">; </w:t>
      </w:r>
      <w:r w:rsidRPr="00D00CE2">
        <w:t>Enfermedad de Kawasaki</w:t>
      </w:r>
      <w:r w:rsidR="00D00CE2">
        <w:t xml:space="preserve">; </w:t>
      </w:r>
      <w:r w:rsidRPr="00D00CE2">
        <w:t>Niño</w:t>
      </w:r>
    </w:p>
    <w:p w14:paraId="4596DCF5" w14:textId="77777777" w:rsidR="00D00CE2" w:rsidRPr="00D00CE2" w:rsidRDefault="00D00CE2" w:rsidP="008E10BF">
      <w:pPr>
        <w:spacing w:after="0" w:line="240" w:lineRule="auto"/>
        <w:jc w:val="left"/>
        <w:rPr>
          <w:szCs w:val="24"/>
        </w:rPr>
      </w:pPr>
    </w:p>
    <w:p w14:paraId="333E6454" w14:textId="70E6B397" w:rsidR="00036EF0" w:rsidRPr="00D00CE2" w:rsidRDefault="008E10BF" w:rsidP="008E10BF">
      <w:pPr>
        <w:spacing w:after="0" w:line="240" w:lineRule="auto"/>
        <w:jc w:val="left"/>
        <w:rPr>
          <w:b/>
          <w:bCs/>
          <w:szCs w:val="24"/>
          <w:lang w:val="en-US"/>
        </w:rPr>
      </w:pPr>
      <w:r w:rsidRPr="00D00CE2">
        <w:rPr>
          <w:b/>
          <w:bCs/>
          <w:szCs w:val="24"/>
          <w:lang w:val="en-US"/>
        </w:rPr>
        <w:t>Summary</w:t>
      </w:r>
      <w:r w:rsidR="00D00CE2" w:rsidRPr="00D00CE2">
        <w:rPr>
          <w:b/>
          <w:bCs/>
          <w:szCs w:val="24"/>
          <w:lang w:val="en-US"/>
        </w:rPr>
        <w:t>:</w:t>
      </w:r>
    </w:p>
    <w:p w14:paraId="7B9BBA3C" w14:textId="77777777" w:rsidR="00036EF0" w:rsidRPr="003077DD" w:rsidRDefault="008E10BF" w:rsidP="008E10BF">
      <w:pPr>
        <w:spacing w:after="0" w:line="240" w:lineRule="auto"/>
        <w:jc w:val="left"/>
        <w:rPr>
          <w:szCs w:val="24"/>
          <w:lang w:val="en-US"/>
        </w:rPr>
      </w:pPr>
      <w:r w:rsidRPr="003077DD">
        <w:rPr>
          <w:szCs w:val="24"/>
          <w:lang w:val="en-US"/>
        </w:rPr>
        <w:t>SARS-CoV-2 affects</w:t>
      </w:r>
      <w:r w:rsidRPr="003077DD">
        <w:rPr>
          <w:szCs w:val="24"/>
          <w:lang w:val="en-US"/>
        </w:rPr>
        <w:t xml:space="preserve"> a low number of pediatric patients, most asymptomatic or with mild respiratory compromise and favorable evolution.  However, in previously healthy children, Multisystem Inflammatory Syndrome (SIM-C) or Kawasaki-like Syndrome(Kawasaki-like) may appear link</w:t>
      </w:r>
      <w:r w:rsidRPr="003077DD">
        <w:rPr>
          <w:szCs w:val="24"/>
          <w:lang w:val="en-US"/>
        </w:rPr>
        <w:t>ed to the COVID-19 disease, progressing to shock and requiring admission to the intensive care unit.</w:t>
      </w:r>
    </w:p>
    <w:p w14:paraId="20449A31" w14:textId="77777777" w:rsidR="00036EF0" w:rsidRPr="003077DD" w:rsidRDefault="008E10BF" w:rsidP="008E10BF">
      <w:pPr>
        <w:spacing w:after="0" w:line="240" w:lineRule="auto"/>
        <w:jc w:val="left"/>
        <w:rPr>
          <w:szCs w:val="24"/>
          <w:lang w:val="en-US"/>
        </w:rPr>
      </w:pPr>
      <w:r w:rsidRPr="003077DD">
        <w:rPr>
          <w:szCs w:val="24"/>
          <w:lang w:val="en-US"/>
        </w:rPr>
        <w:t xml:space="preserve">We present the case of an adolescent with an environmental history of SARS-CoV-2 37 days prior to her admission, who was not tested at that time.  She had </w:t>
      </w:r>
      <w:r w:rsidRPr="003077DD">
        <w:rPr>
          <w:szCs w:val="24"/>
          <w:lang w:val="en-US"/>
        </w:rPr>
        <w:t>received the first dose of Pfizer vaccine 15 days before the presentation of digestive symptoms with abdominal pain and fever.  She had a negative Covid-19 antigen test and viral PCR.  After an exploratory laparoscopy, on the sixth day of fever and pain, s</w:t>
      </w:r>
      <w:r w:rsidRPr="003077DD">
        <w:rPr>
          <w:szCs w:val="24"/>
          <w:lang w:val="en-US"/>
        </w:rPr>
        <w:t xml:space="preserve">he developed bilateral non-suppurative conjunctivitis and a rash on the chest, odynophagia, asthenia, and coated tongue with the Kawasaki phenotype.  The anti-spike IgG serology was positive and the IgM negative, </w:t>
      </w:r>
      <w:r w:rsidRPr="003077DD">
        <w:rPr>
          <w:szCs w:val="24"/>
          <w:lang w:val="en-US"/>
        </w:rPr>
        <w:lastRenderedPageBreak/>
        <w:t>with elevated inflammatory parameters, so a</w:t>
      </w:r>
      <w:r w:rsidRPr="003077DD">
        <w:rPr>
          <w:szCs w:val="24"/>
          <w:lang w:val="en-US"/>
        </w:rPr>
        <w:t xml:space="preserve"> post-COVID-19 multisystem syndrome was suggested. She received treatment with intravenous immunoglobulin, ASA and methylprednisolone.  In order to rule out the possibility of an event allegedly caused by vaccination or immunization (ESAVI), the serologica</w:t>
      </w:r>
      <w:r w:rsidRPr="003077DD">
        <w:rPr>
          <w:szCs w:val="24"/>
          <w:lang w:val="en-US"/>
        </w:rPr>
        <w:t xml:space="preserve">l search for SARS-CoV-2 was carried out through a qualitative study, looking for antibodies that are not generated with the Pfizer vaccine. The result was positive. Therefore, we confirmed the post-Covid etiology and ruled out the ESAVI etiology, and also </w:t>
      </w:r>
      <w:r w:rsidRPr="003077DD">
        <w:rPr>
          <w:szCs w:val="24"/>
          <w:lang w:val="en-US"/>
        </w:rPr>
        <w:t>performed the quantitative study of the anti-spike antibodies, which showed a decrease one month after the debut.</w:t>
      </w:r>
    </w:p>
    <w:p w14:paraId="02DC102A" w14:textId="1B16611F" w:rsidR="00036EF0" w:rsidRDefault="008E10BF" w:rsidP="008E10BF">
      <w:pPr>
        <w:spacing w:after="0" w:line="240" w:lineRule="auto"/>
        <w:jc w:val="left"/>
        <w:rPr>
          <w:szCs w:val="24"/>
          <w:lang w:val="en-US"/>
        </w:rPr>
      </w:pPr>
      <w:r w:rsidRPr="00D00CE2">
        <w:rPr>
          <w:b/>
          <w:bCs/>
          <w:lang w:val="en-US"/>
        </w:rPr>
        <w:t>Key words:</w:t>
      </w:r>
      <w:r w:rsidR="00D00CE2">
        <w:rPr>
          <w:rStyle w:val="azul"/>
          <w:rFonts w:ascii="Verdana" w:hAnsi="Verdana"/>
          <w:szCs w:val="24"/>
          <w:lang w:val="en-US"/>
        </w:rPr>
        <w:t xml:space="preserve"> </w:t>
      </w:r>
      <w:r w:rsidRPr="003077DD">
        <w:rPr>
          <w:szCs w:val="24"/>
          <w:lang w:val="en-US"/>
        </w:rPr>
        <w:t>System inflammatory response syndrome</w:t>
      </w:r>
      <w:r w:rsidR="00D00CE2">
        <w:rPr>
          <w:szCs w:val="24"/>
          <w:lang w:val="en-US"/>
        </w:rPr>
        <w:t xml:space="preserve">; </w:t>
      </w:r>
      <w:r w:rsidRPr="003077DD">
        <w:rPr>
          <w:szCs w:val="24"/>
          <w:lang w:val="en-US"/>
        </w:rPr>
        <w:t>COVID- 19</w:t>
      </w:r>
      <w:r w:rsidR="00D00CE2">
        <w:rPr>
          <w:szCs w:val="24"/>
          <w:lang w:val="en-US"/>
        </w:rPr>
        <w:t xml:space="preserve">; </w:t>
      </w:r>
      <w:r w:rsidRPr="003077DD">
        <w:rPr>
          <w:szCs w:val="24"/>
          <w:lang w:val="en-US"/>
        </w:rPr>
        <w:t>Kawasaki disease</w:t>
      </w:r>
      <w:r w:rsidR="00D00CE2">
        <w:rPr>
          <w:szCs w:val="24"/>
          <w:lang w:val="en-US"/>
        </w:rPr>
        <w:t xml:space="preserve">; </w:t>
      </w:r>
      <w:r w:rsidRPr="003077DD">
        <w:rPr>
          <w:szCs w:val="24"/>
          <w:lang w:val="en-US"/>
        </w:rPr>
        <w:t>Child</w:t>
      </w:r>
    </w:p>
    <w:p w14:paraId="4498B56F" w14:textId="77777777" w:rsidR="00D00CE2" w:rsidRPr="003077DD" w:rsidRDefault="00D00CE2" w:rsidP="008E10BF">
      <w:pPr>
        <w:spacing w:after="0" w:line="240" w:lineRule="auto"/>
        <w:jc w:val="left"/>
        <w:rPr>
          <w:szCs w:val="24"/>
          <w:lang w:val="en-US"/>
        </w:rPr>
      </w:pPr>
    </w:p>
    <w:p w14:paraId="4F64BDE0" w14:textId="31752EA1" w:rsidR="00036EF0" w:rsidRPr="00D00CE2" w:rsidRDefault="008E10BF" w:rsidP="008E10BF">
      <w:pPr>
        <w:spacing w:after="0" w:line="240" w:lineRule="auto"/>
        <w:jc w:val="left"/>
        <w:rPr>
          <w:b/>
          <w:bCs/>
          <w:szCs w:val="24"/>
        </w:rPr>
      </w:pPr>
      <w:r w:rsidRPr="00D00CE2">
        <w:rPr>
          <w:b/>
          <w:bCs/>
          <w:szCs w:val="24"/>
        </w:rPr>
        <w:t>Resumo</w:t>
      </w:r>
      <w:r w:rsidR="00D00CE2" w:rsidRPr="00D00CE2">
        <w:rPr>
          <w:b/>
          <w:bCs/>
          <w:szCs w:val="24"/>
        </w:rPr>
        <w:t>:</w:t>
      </w:r>
    </w:p>
    <w:p w14:paraId="66D51111" w14:textId="1FFBC9F8" w:rsidR="00036EF0" w:rsidRPr="003077DD" w:rsidRDefault="008E10BF" w:rsidP="008E10BF">
      <w:pPr>
        <w:spacing w:after="0" w:line="240" w:lineRule="auto"/>
        <w:jc w:val="left"/>
        <w:rPr>
          <w:szCs w:val="24"/>
        </w:rPr>
      </w:pPr>
      <w:r w:rsidRPr="003077DD">
        <w:rPr>
          <w:szCs w:val="24"/>
        </w:rPr>
        <w:t xml:space="preserve">O SARS-CoV-2 </w:t>
      </w:r>
      <w:proofErr w:type="spellStart"/>
      <w:r w:rsidRPr="003077DD">
        <w:rPr>
          <w:szCs w:val="24"/>
        </w:rPr>
        <w:t>afeta</w:t>
      </w:r>
      <w:proofErr w:type="spellEnd"/>
      <w:r w:rsidRPr="003077DD">
        <w:rPr>
          <w:szCs w:val="24"/>
        </w:rPr>
        <w:t xml:space="preserve"> </w:t>
      </w:r>
      <w:proofErr w:type="spellStart"/>
      <w:r w:rsidRPr="003077DD">
        <w:rPr>
          <w:szCs w:val="24"/>
        </w:rPr>
        <w:t>um</w:t>
      </w:r>
      <w:proofErr w:type="spellEnd"/>
      <w:r w:rsidRPr="003077DD">
        <w:rPr>
          <w:szCs w:val="24"/>
        </w:rPr>
        <w:t xml:space="preserve"> número </w:t>
      </w:r>
      <w:proofErr w:type="spellStart"/>
      <w:r w:rsidRPr="003077DD">
        <w:rPr>
          <w:szCs w:val="24"/>
        </w:rPr>
        <w:t>reduzido</w:t>
      </w:r>
      <w:proofErr w:type="spellEnd"/>
      <w:r w:rsidRPr="003077DD">
        <w:rPr>
          <w:szCs w:val="24"/>
        </w:rPr>
        <w:t xml:space="preserve"> de pacientes pediátricos, </w:t>
      </w:r>
      <w:proofErr w:type="spellStart"/>
      <w:r w:rsidRPr="003077DD">
        <w:rPr>
          <w:szCs w:val="24"/>
        </w:rPr>
        <w:t>em</w:t>
      </w:r>
      <w:proofErr w:type="spellEnd"/>
      <w:r w:rsidRPr="003077DD">
        <w:rPr>
          <w:szCs w:val="24"/>
        </w:rPr>
        <w:t xml:space="preserve"> </w:t>
      </w:r>
      <w:proofErr w:type="spellStart"/>
      <w:r w:rsidRPr="003077DD">
        <w:rPr>
          <w:szCs w:val="24"/>
        </w:rPr>
        <w:t>sua</w:t>
      </w:r>
      <w:proofErr w:type="spellEnd"/>
      <w:r w:rsidRPr="003077DD">
        <w:rPr>
          <w:szCs w:val="24"/>
        </w:rPr>
        <w:t xml:space="preserve"> </w:t>
      </w:r>
      <w:proofErr w:type="spellStart"/>
      <w:r w:rsidRPr="003077DD">
        <w:rPr>
          <w:szCs w:val="24"/>
        </w:rPr>
        <w:t>maioria</w:t>
      </w:r>
      <w:proofErr w:type="spellEnd"/>
      <w:r w:rsidRPr="003077DD">
        <w:rPr>
          <w:szCs w:val="24"/>
        </w:rPr>
        <w:t xml:space="preserve">, </w:t>
      </w:r>
      <w:proofErr w:type="spellStart"/>
      <w:r w:rsidRPr="003077DD">
        <w:rPr>
          <w:szCs w:val="24"/>
        </w:rPr>
        <w:t>assintomáticos</w:t>
      </w:r>
      <w:proofErr w:type="spellEnd"/>
      <w:r w:rsidRPr="003077DD">
        <w:rPr>
          <w:szCs w:val="24"/>
        </w:rPr>
        <w:t xml:space="preserve"> </w:t>
      </w:r>
      <w:proofErr w:type="spellStart"/>
      <w:r w:rsidRPr="003077DD">
        <w:rPr>
          <w:szCs w:val="24"/>
        </w:rPr>
        <w:t>ou</w:t>
      </w:r>
      <w:proofErr w:type="spellEnd"/>
      <w:r w:rsidRPr="003077DD">
        <w:rPr>
          <w:szCs w:val="24"/>
        </w:rPr>
        <w:t xml:space="preserve"> </w:t>
      </w:r>
      <w:proofErr w:type="spellStart"/>
      <w:r w:rsidRPr="003077DD">
        <w:rPr>
          <w:szCs w:val="24"/>
        </w:rPr>
        <w:t>apresentando</w:t>
      </w:r>
      <w:proofErr w:type="spellEnd"/>
      <w:r w:rsidRPr="003077DD">
        <w:rPr>
          <w:szCs w:val="24"/>
        </w:rPr>
        <w:t xml:space="preserve"> </w:t>
      </w:r>
      <w:proofErr w:type="spellStart"/>
      <w:r w:rsidRPr="003077DD">
        <w:rPr>
          <w:szCs w:val="24"/>
        </w:rPr>
        <w:t>comprometimento</w:t>
      </w:r>
      <w:proofErr w:type="spellEnd"/>
      <w:r w:rsidRPr="003077DD">
        <w:rPr>
          <w:szCs w:val="24"/>
        </w:rPr>
        <w:t xml:space="preserve"> do </w:t>
      </w:r>
      <w:proofErr w:type="spellStart"/>
      <w:r w:rsidRPr="003077DD">
        <w:rPr>
          <w:szCs w:val="24"/>
        </w:rPr>
        <w:t>nível</w:t>
      </w:r>
      <w:proofErr w:type="spellEnd"/>
      <w:r w:rsidRPr="003077DD">
        <w:rPr>
          <w:szCs w:val="24"/>
        </w:rPr>
        <w:t xml:space="preserve"> </w:t>
      </w:r>
      <w:proofErr w:type="spellStart"/>
      <w:r w:rsidRPr="003077DD">
        <w:rPr>
          <w:szCs w:val="24"/>
        </w:rPr>
        <w:t>respiratório</w:t>
      </w:r>
      <w:proofErr w:type="spellEnd"/>
      <w:r w:rsidRPr="003077DD">
        <w:rPr>
          <w:szCs w:val="24"/>
        </w:rPr>
        <w:t xml:space="preserve"> e </w:t>
      </w:r>
      <w:proofErr w:type="spellStart"/>
      <w:r w:rsidRPr="003077DD">
        <w:rPr>
          <w:szCs w:val="24"/>
        </w:rPr>
        <w:t>evolução</w:t>
      </w:r>
      <w:proofErr w:type="spellEnd"/>
      <w:r w:rsidRPr="003077DD">
        <w:rPr>
          <w:szCs w:val="24"/>
        </w:rPr>
        <w:t xml:space="preserve"> </w:t>
      </w:r>
      <w:proofErr w:type="spellStart"/>
      <w:r w:rsidRPr="003077DD">
        <w:rPr>
          <w:szCs w:val="24"/>
        </w:rPr>
        <w:t>favorável</w:t>
      </w:r>
      <w:proofErr w:type="spellEnd"/>
      <w:r w:rsidRPr="003077DD">
        <w:rPr>
          <w:szCs w:val="24"/>
        </w:rPr>
        <w:t xml:space="preserve">. </w:t>
      </w:r>
      <w:proofErr w:type="spellStart"/>
      <w:r w:rsidRPr="003077DD">
        <w:rPr>
          <w:szCs w:val="24"/>
        </w:rPr>
        <w:t>Porém</w:t>
      </w:r>
      <w:proofErr w:type="spellEnd"/>
      <w:r w:rsidRPr="003077DD">
        <w:rPr>
          <w:szCs w:val="24"/>
        </w:rPr>
        <w:t xml:space="preserve">, </w:t>
      </w:r>
      <w:proofErr w:type="spellStart"/>
      <w:r w:rsidRPr="003077DD">
        <w:rPr>
          <w:szCs w:val="24"/>
        </w:rPr>
        <w:t>em</w:t>
      </w:r>
      <w:proofErr w:type="spellEnd"/>
      <w:r w:rsidRPr="003077DD">
        <w:rPr>
          <w:szCs w:val="24"/>
        </w:rPr>
        <w:t xml:space="preserve"> </w:t>
      </w:r>
      <w:proofErr w:type="spellStart"/>
      <w:r w:rsidRPr="003077DD">
        <w:rPr>
          <w:szCs w:val="24"/>
        </w:rPr>
        <w:t>crianças</w:t>
      </w:r>
      <w:proofErr w:type="spellEnd"/>
      <w:r w:rsidRPr="003077DD">
        <w:rPr>
          <w:szCs w:val="24"/>
        </w:rPr>
        <w:t xml:space="preserve"> previamente </w:t>
      </w:r>
      <w:proofErr w:type="spellStart"/>
      <w:r w:rsidRPr="003077DD">
        <w:rPr>
          <w:szCs w:val="24"/>
        </w:rPr>
        <w:t>sãs</w:t>
      </w:r>
      <w:proofErr w:type="spellEnd"/>
      <w:r w:rsidRPr="003077DD">
        <w:rPr>
          <w:szCs w:val="24"/>
        </w:rPr>
        <w:t xml:space="preserve">, pode aparecer a Síndrome </w:t>
      </w:r>
      <w:proofErr w:type="spellStart"/>
      <w:r w:rsidRPr="003077DD">
        <w:rPr>
          <w:szCs w:val="24"/>
        </w:rPr>
        <w:t>Inflamatória</w:t>
      </w:r>
      <w:proofErr w:type="spellEnd"/>
      <w:r w:rsidRPr="003077DD">
        <w:rPr>
          <w:szCs w:val="24"/>
        </w:rPr>
        <w:t xml:space="preserve"> </w:t>
      </w:r>
      <w:proofErr w:type="spellStart"/>
      <w:r w:rsidRPr="003077DD">
        <w:rPr>
          <w:szCs w:val="24"/>
        </w:rPr>
        <w:t>Multissistêmica</w:t>
      </w:r>
      <w:proofErr w:type="spellEnd"/>
      <w:r w:rsidRPr="003077DD">
        <w:rPr>
          <w:szCs w:val="24"/>
        </w:rPr>
        <w:t xml:space="preserve"> (SIM-C) </w:t>
      </w:r>
      <w:proofErr w:type="spellStart"/>
      <w:r w:rsidRPr="003077DD">
        <w:rPr>
          <w:szCs w:val="24"/>
        </w:rPr>
        <w:t>ou</w:t>
      </w:r>
      <w:proofErr w:type="spellEnd"/>
      <w:r w:rsidRPr="003077DD">
        <w:rPr>
          <w:szCs w:val="24"/>
        </w:rPr>
        <w:t xml:space="preserve"> similar a Kawasaki (K</w:t>
      </w:r>
      <w:r w:rsidRPr="003077DD">
        <w:rPr>
          <w:szCs w:val="24"/>
        </w:rPr>
        <w:t>awasaki-</w:t>
      </w:r>
      <w:proofErr w:type="spellStart"/>
      <w:r w:rsidRPr="003077DD">
        <w:rPr>
          <w:szCs w:val="24"/>
        </w:rPr>
        <w:t>like</w:t>
      </w:r>
      <w:proofErr w:type="spellEnd"/>
      <w:r w:rsidRPr="003077DD">
        <w:rPr>
          <w:szCs w:val="24"/>
        </w:rPr>
        <w:t xml:space="preserve">) </w:t>
      </w:r>
      <w:proofErr w:type="spellStart"/>
      <w:r w:rsidRPr="003077DD">
        <w:rPr>
          <w:szCs w:val="24"/>
        </w:rPr>
        <w:t>associada</w:t>
      </w:r>
      <w:proofErr w:type="spellEnd"/>
      <w:r w:rsidRPr="003077DD">
        <w:rPr>
          <w:szCs w:val="24"/>
        </w:rPr>
        <w:t xml:space="preserve"> à </w:t>
      </w:r>
      <w:proofErr w:type="spellStart"/>
      <w:r w:rsidRPr="003077DD">
        <w:rPr>
          <w:szCs w:val="24"/>
        </w:rPr>
        <w:t>doença</w:t>
      </w:r>
      <w:proofErr w:type="spellEnd"/>
      <w:r w:rsidRPr="003077DD">
        <w:rPr>
          <w:szCs w:val="24"/>
        </w:rPr>
        <w:t xml:space="preserve"> por </w:t>
      </w:r>
      <w:r w:rsidR="00085106" w:rsidRPr="003077DD">
        <w:rPr>
          <w:szCs w:val="24"/>
        </w:rPr>
        <w:t>COVID</w:t>
      </w:r>
      <w:r w:rsidR="00085106">
        <w:rPr>
          <w:szCs w:val="24"/>
        </w:rPr>
        <w:t>-</w:t>
      </w:r>
      <w:r w:rsidRPr="003077DD">
        <w:rPr>
          <w:szCs w:val="24"/>
        </w:rPr>
        <w:t xml:space="preserve">19, que pode </w:t>
      </w:r>
      <w:proofErr w:type="spellStart"/>
      <w:r w:rsidRPr="003077DD">
        <w:rPr>
          <w:szCs w:val="24"/>
        </w:rPr>
        <w:t>evoluir</w:t>
      </w:r>
      <w:proofErr w:type="spellEnd"/>
      <w:r w:rsidRPr="003077DD">
        <w:rPr>
          <w:szCs w:val="24"/>
        </w:rPr>
        <w:t xml:space="preserve"> a choque e </w:t>
      </w:r>
      <w:proofErr w:type="spellStart"/>
      <w:r w:rsidRPr="003077DD">
        <w:rPr>
          <w:szCs w:val="24"/>
        </w:rPr>
        <w:t>requer</w:t>
      </w:r>
      <w:proofErr w:type="spellEnd"/>
      <w:r w:rsidRPr="003077DD">
        <w:rPr>
          <w:szCs w:val="24"/>
        </w:rPr>
        <w:t xml:space="preserve"> a </w:t>
      </w:r>
      <w:proofErr w:type="spellStart"/>
      <w:r w:rsidRPr="003077DD">
        <w:rPr>
          <w:szCs w:val="24"/>
        </w:rPr>
        <w:t>internação</w:t>
      </w:r>
      <w:proofErr w:type="spellEnd"/>
      <w:r w:rsidRPr="003077DD">
        <w:rPr>
          <w:szCs w:val="24"/>
        </w:rPr>
        <w:t xml:space="preserve"> na UTI.</w:t>
      </w:r>
    </w:p>
    <w:p w14:paraId="16FCB017" w14:textId="77777777" w:rsidR="00036EF0" w:rsidRPr="003077DD" w:rsidRDefault="008E10BF" w:rsidP="008E10BF">
      <w:pPr>
        <w:spacing w:after="0" w:line="240" w:lineRule="auto"/>
        <w:jc w:val="left"/>
        <w:rPr>
          <w:szCs w:val="24"/>
        </w:rPr>
      </w:pPr>
      <w:proofErr w:type="spellStart"/>
      <w:r w:rsidRPr="003077DD">
        <w:rPr>
          <w:szCs w:val="24"/>
        </w:rPr>
        <w:t>Apresentamos</w:t>
      </w:r>
      <w:proofErr w:type="spellEnd"/>
      <w:r w:rsidRPr="003077DD">
        <w:rPr>
          <w:szCs w:val="24"/>
        </w:rPr>
        <w:t xml:space="preserve"> o caso de </w:t>
      </w:r>
      <w:proofErr w:type="spellStart"/>
      <w:r w:rsidRPr="003077DD">
        <w:rPr>
          <w:szCs w:val="24"/>
        </w:rPr>
        <w:t>um</w:t>
      </w:r>
      <w:proofErr w:type="spellEnd"/>
      <w:r w:rsidRPr="003077DD">
        <w:rPr>
          <w:szCs w:val="24"/>
        </w:rPr>
        <w:t xml:space="preserve"> adolescente </w:t>
      </w:r>
      <w:proofErr w:type="spellStart"/>
      <w:r w:rsidRPr="003077DD">
        <w:rPr>
          <w:szCs w:val="24"/>
        </w:rPr>
        <w:t>com</w:t>
      </w:r>
      <w:proofErr w:type="spellEnd"/>
      <w:r w:rsidRPr="003077DD">
        <w:rPr>
          <w:szCs w:val="24"/>
        </w:rPr>
        <w:t xml:space="preserve"> antecedentes </w:t>
      </w:r>
      <w:proofErr w:type="spellStart"/>
      <w:r w:rsidRPr="003077DD">
        <w:rPr>
          <w:szCs w:val="24"/>
        </w:rPr>
        <w:t>ambientais</w:t>
      </w:r>
      <w:proofErr w:type="spellEnd"/>
      <w:r w:rsidRPr="003077DD">
        <w:rPr>
          <w:szCs w:val="24"/>
        </w:rPr>
        <w:t xml:space="preserve"> de SARS-CoV-2 37 </w:t>
      </w:r>
      <w:proofErr w:type="spellStart"/>
      <w:r w:rsidRPr="003077DD">
        <w:rPr>
          <w:szCs w:val="24"/>
        </w:rPr>
        <w:t>dias</w:t>
      </w:r>
      <w:proofErr w:type="spellEnd"/>
      <w:r w:rsidRPr="003077DD">
        <w:rPr>
          <w:szCs w:val="24"/>
        </w:rPr>
        <w:t xml:space="preserve"> antes do </w:t>
      </w:r>
      <w:proofErr w:type="spellStart"/>
      <w:r w:rsidRPr="003077DD">
        <w:rPr>
          <w:szCs w:val="24"/>
        </w:rPr>
        <w:t>seu</w:t>
      </w:r>
      <w:proofErr w:type="spellEnd"/>
      <w:r w:rsidRPr="003077DD">
        <w:rPr>
          <w:szCs w:val="24"/>
        </w:rPr>
        <w:t xml:space="preserve"> </w:t>
      </w:r>
      <w:proofErr w:type="spellStart"/>
      <w:r w:rsidRPr="003077DD">
        <w:rPr>
          <w:szCs w:val="24"/>
        </w:rPr>
        <w:t>ingresso</w:t>
      </w:r>
      <w:proofErr w:type="spellEnd"/>
      <w:r w:rsidRPr="003077DD">
        <w:rPr>
          <w:szCs w:val="24"/>
        </w:rPr>
        <w:t xml:space="preserve">, que </w:t>
      </w:r>
      <w:proofErr w:type="spellStart"/>
      <w:r w:rsidRPr="003077DD">
        <w:rPr>
          <w:szCs w:val="24"/>
        </w:rPr>
        <w:t>não</w:t>
      </w:r>
      <w:proofErr w:type="spellEnd"/>
      <w:r w:rsidRPr="003077DD">
        <w:rPr>
          <w:szCs w:val="24"/>
        </w:rPr>
        <w:t xml:space="preserve"> se </w:t>
      </w:r>
      <w:proofErr w:type="spellStart"/>
      <w:r w:rsidRPr="003077DD">
        <w:rPr>
          <w:szCs w:val="24"/>
        </w:rPr>
        <w:t>testou</w:t>
      </w:r>
      <w:proofErr w:type="spellEnd"/>
      <w:r w:rsidRPr="003077DD">
        <w:rPr>
          <w:szCs w:val="24"/>
        </w:rPr>
        <w:t xml:space="preserve"> </w:t>
      </w:r>
      <w:proofErr w:type="spellStart"/>
      <w:r w:rsidRPr="003077DD">
        <w:rPr>
          <w:szCs w:val="24"/>
        </w:rPr>
        <w:t>nesse</w:t>
      </w:r>
      <w:proofErr w:type="spellEnd"/>
      <w:r w:rsidRPr="003077DD">
        <w:rPr>
          <w:szCs w:val="24"/>
        </w:rPr>
        <w:t xml:space="preserve"> momento. </w:t>
      </w:r>
      <w:proofErr w:type="spellStart"/>
      <w:r w:rsidRPr="003077DD">
        <w:rPr>
          <w:szCs w:val="24"/>
        </w:rPr>
        <w:t>Recebendo</w:t>
      </w:r>
      <w:proofErr w:type="spellEnd"/>
      <w:r w:rsidRPr="003077DD">
        <w:rPr>
          <w:szCs w:val="24"/>
        </w:rPr>
        <w:t xml:space="preserve"> a </w:t>
      </w:r>
      <w:proofErr w:type="spellStart"/>
      <w:r w:rsidRPr="003077DD">
        <w:rPr>
          <w:szCs w:val="24"/>
        </w:rPr>
        <w:t>dose</w:t>
      </w:r>
      <w:proofErr w:type="spellEnd"/>
      <w:r w:rsidRPr="003077DD">
        <w:rPr>
          <w:szCs w:val="24"/>
        </w:rPr>
        <w:t xml:space="preserve"> da </w:t>
      </w:r>
      <w:proofErr w:type="spellStart"/>
      <w:r w:rsidRPr="003077DD">
        <w:rPr>
          <w:szCs w:val="24"/>
        </w:rPr>
        <w:t>primeira</w:t>
      </w:r>
      <w:proofErr w:type="spellEnd"/>
      <w:r w:rsidRPr="003077DD">
        <w:rPr>
          <w:szCs w:val="24"/>
        </w:rPr>
        <w:t xml:space="preserve"> </w:t>
      </w:r>
      <w:proofErr w:type="spellStart"/>
      <w:r w:rsidRPr="003077DD">
        <w:rPr>
          <w:szCs w:val="24"/>
        </w:rPr>
        <w:t>vacina</w:t>
      </w:r>
      <w:proofErr w:type="spellEnd"/>
      <w:r w:rsidRPr="003077DD">
        <w:rPr>
          <w:szCs w:val="24"/>
        </w:rPr>
        <w:t xml:space="preserve"> Pfizer 15 </w:t>
      </w:r>
      <w:proofErr w:type="spellStart"/>
      <w:r w:rsidRPr="003077DD">
        <w:rPr>
          <w:szCs w:val="24"/>
        </w:rPr>
        <w:t>dias</w:t>
      </w:r>
      <w:proofErr w:type="spellEnd"/>
      <w:r w:rsidRPr="003077DD">
        <w:rPr>
          <w:szCs w:val="24"/>
        </w:rPr>
        <w:t xml:space="preserve"> antes da </w:t>
      </w:r>
      <w:proofErr w:type="spellStart"/>
      <w:r w:rsidRPr="003077DD">
        <w:rPr>
          <w:szCs w:val="24"/>
        </w:rPr>
        <w:t>apresentação</w:t>
      </w:r>
      <w:proofErr w:type="spellEnd"/>
      <w:r w:rsidRPr="003077DD">
        <w:rPr>
          <w:szCs w:val="24"/>
        </w:rPr>
        <w:t xml:space="preserve"> de </w:t>
      </w:r>
      <w:proofErr w:type="spellStart"/>
      <w:r w:rsidRPr="003077DD">
        <w:rPr>
          <w:szCs w:val="24"/>
        </w:rPr>
        <w:t>sintomatologia</w:t>
      </w:r>
      <w:proofErr w:type="spellEnd"/>
      <w:r w:rsidRPr="003077DD">
        <w:rPr>
          <w:szCs w:val="24"/>
        </w:rPr>
        <w:t xml:space="preserve"> digestiva </w:t>
      </w:r>
      <w:proofErr w:type="spellStart"/>
      <w:r w:rsidRPr="003077DD">
        <w:rPr>
          <w:szCs w:val="24"/>
        </w:rPr>
        <w:t>com</w:t>
      </w:r>
      <w:proofErr w:type="spellEnd"/>
      <w:r w:rsidRPr="003077DD">
        <w:rPr>
          <w:szCs w:val="24"/>
        </w:rPr>
        <w:t xml:space="preserve"> </w:t>
      </w:r>
      <w:proofErr w:type="spellStart"/>
      <w:r w:rsidRPr="003077DD">
        <w:rPr>
          <w:szCs w:val="24"/>
        </w:rPr>
        <w:t>dor</w:t>
      </w:r>
      <w:proofErr w:type="spellEnd"/>
      <w:r w:rsidRPr="003077DD">
        <w:rPr>
          <w:szCs w:val="24"/>
        </w:rPr>
        <w:t xml:space="preserve"> abdominal e </w:t>
      </w:r>
      <w:proofErr w:type="spellStart"/>
      <w:r w:rsidRPr="003077DD">
        <w:rPr>
          <w:szCs w:val="24"/>
        </w:rPr>
        <w:t>febre</w:t>
      </w:r>
      <w:proofErr w:type="spellEnd"/>
      <w:r w:rsidRPr="003077DD">
        <w:rPr>
          <w:szCs w:val="24"/>
        </w:rPr>
        <w:t xml:space="preserve">. </w:t>
      </w:r>
      <w:proofErr w:type="spellStart"/>
      <w:r w:rsidRPr="003077DD">
        <w:rPr>
          <w:szCs w:val="24"/>
        </w:rPr>
        <w:t>Teve</w:t>
      </w:r>
      <w:proofErr w:type="spellEnd"/>
      <w:r w:rsidRPr="003077DD">
        <w:rPr>
          <w:szCs w:val="24"/>
        </w:rPr>
        <w:t xml:space="preserve"> </w:t>
      </w:r>
      <w:proofErr w:type="spellStart"/>
      <w:r w:rsidRPr="003077DD">
        <w:rPr>
          <w:szCs w:val="24"/>
        </w:rPr>
        <w:t>um</w:t>
      </w:r>
      <w:proofErr w:type="spellEnd"/>
      <w:r w:rsidRPr="003077DD">
        <w:rPr>
          <w:szCs w:val="24"/>
        </w:rPr>
        <w:t xml:space="preserve"> teste de antígenos COVID-19 viral negativo. </w:t>
      </w:r>
      <w:proofErr w:type="spellStart"/>
      <w:r w:rsidRPr="003077DD">
        <w:rPr>
          <w:szCs w:val="24"/>
        </w:rPr>
        <w:t>Depois</w:t>
      </w:r>
      <w:proofErr w:type="spellEnd"/>
      <w:r w:rsidRPr="003077DD">
        <w:rPr>
          <w:szCs w:val="24"/>
        </w:rPr>
        <w:t xml:space="preserve"> de una laparoscopia </w:t>
      </w:r>
      <w:proofErr w:type="spellStart"/>
      <w:r w:rsidRPr="003077DD">
        <w:rPr>
          <w:szCs w:val="24"/>
        </w:rPr>
        <w:t>exploratória</w:t>
      </w:r>
      <w:proofErr w:type="spellEnd"/>
      <w:r w:rsidRPr="003077DD">
        <w:rPr>
          <w:szCs w:val="24"/>
        </w:rPr>
        <w:t xml:space="preserve">, </w:t>
      </w:r>
      <w:proofErr w:type="spellStart"/>
      <w:r w:rsidRPr="003077DD">
        <w:rPr>
          <w:szCs w:val="24"/>
        </w:rPr>
        <w:t>ao</w:t>
      </w:r>
      <w:proofErr w:type="spellEnd"/>
      <w:r w:rsidRPr="003077DD">
        <w:rPr>
          <w:szCs w:val="24"/>
        </w:rPr>
        <w:t xml:space="preserve"> sexto </w:t>
      </w:r>
      <w:proofErr w:type="spellStart"/>
      <w:r w:rsidRPr="003077DD">
        <w:rPr>
          <w:szCs w:val="24"/>
        </w:rPr>
        <w:t>dia</w:t>
      </w:r>
      <w:proofErr w:type="spellEnd"/>
      <w:r w:rsidRPr="003077DD">
        <w:rPr>
          <w:szCs w:val="24"/>
        </w:rPr>
        <w:t xml:space="preserve"> de </w:t>
      </w:r>
      <w:proofErr w:type="spellStart"/>
      <w:r w:rsidRPr="003077DD">
        <w:rPr>
          <w:szCs w:val="24"/>
        </w:rPr>
        <w:t>febre</w:t>
      </w:r>
      <w:proofErr w:type="spellEnd"/>
      <w:r w:rsidRPr="003077DD">
        <w:rPr>
          <w:szCs w:val="24"/>
        </w:rPr>
        <w:t xml:space="preserve"> e </w:t>
      </w:r>
      <w:proofErr w:type="spellStart"/>
      <w:r w:rsidRPr="003077DD">
        <w:rPr>
          <w:szCs w:val="24"/>
        </w:rPr>
        <w:t>dor</w:t>
      </w:r>
      <w:proofErr w:type="spellEnd"/>
      <w:r w:rsidRPr="003077DD">
        <w:rPr>
          <w:szCs w:val="24"/>
        </w:rPr>
        <w:t xml:space="preserve">, </w:t>
      </w:r>
      <w:proofErr w:type="spellStart"/>
      <w:r w:rsidRPr="003077DD">
        <w:rPr>
          <w:szCs w:val="24"/>
        </w:rPr>
        <w:t>teve</w:t>
      </w:r>
      <w:proofErr w:type="spellEnd"/>
      <w:r w:rsidRPr="003077DD">
        <w:rPr>
          <w:szCs w:val="24"/>
        </w:rPr>
        <w:t xml:space="preserve"> </w:t>
      </w:r>
      <w:proofErr w:type="spellStart"/>
      <w:r w:rsidRPr="003077DD">
        <w:rPr>
          <w:szCs w:val="24"/>
        </w:rPr>
        <w:t>conjuntivi</w:t>
      </w:r>
      <w:r w:rsidRPr="003077DD">
        <w:rPr>
          <w:szCs w:val="24"/>
        </w:rPr>
        <w:t>te</w:t>
      </w:r>
      <w:proofErr w:type="spellEnd"/>
      <w:r w:rsidRPr="003077DD">
        <w:rPr>
          <w:szCs w:val="24"/>
        </w:rPr>
        <w:t xml:space="preserve"> bilateral </w:t>
      </w:r>
      <w:proofErr w:type="spellStart"/>
      <w:r w:rsidRPr="003077DD">
        <w:rPr>
          <w:szCs w:val="24"/>
        </w:rPr>
        <w:t>não</w:t>
      </w:r>
      <w:proofErr w:type="spellEnd"/>
      <w:r w:rsidRPr="003077DD">
        <w:rPr>
          <w:szCs w:val="24"/>
        </w:rPr>
        <w:t xml:space="preserve"> supurada e exantema en tórax, </w:t>
      </w:r>
      <w:proofErr w:type="spellStart"/>
      <w:r w:rsidRPr="003077DD">
        <w:rPr>
          <w:szCs w:val="24"/>
        </w:rPr>
        <w:t>odinofagia</w:t>
      </w:r>
      <w:proofErr w:type="spellEnd"/>
      <w:r w:rsidRPr="003077DD">
        <w:rPr>
          <w:szCs w:val="24"/>
        </w:rPr>
        <w:t xml:space="preserve">, astenia e </w:t>
      </w:r>
      <w:proofErr w:type="spellStart"/>
      <w:r w:rsidRPr="003077DD">
        <w:rPr>
          <w:szCs w:val="24"/>
        </w:rPr>
        <w:t>língua</w:t>
      </w:r>
      <w:proofErr w:type="spellEnd"/>
      <w:r w:rsidRPr="003077DD">
        <w:rPr>
          <w:szCs w:val="24"/>
        </w:rPr>
        <w:t xml:space="preserve"> saburral </w:t>
      </w:r>
      <w:proofErr w:type="spellStart"/>
      <w:r w:rsidRPr="003077DD">
        <w:rPr>
          <w:szCs w:val="24"/>
        </w:rPr>
        <w:t>com</w:t>
      </w:r>
      <w:proofErr w:type="spellEnd"/>
      <w:r w:rsidRPr="003077DD">
        <w:rPr>
          <w:szCs w:val="24"/>
        </w:rPr>
        <w:t xml:space="preserve"> </w:t>
      </w:r>
      <w:proofErr w:type="spellStart"/>
      <w:r w:rsidRPr="003077DD">
        <w:rPr>
          <w:szCs w:val="24"/>
        </w:rPr>
        <w:t>fenótipo</w:t>
      </w:r>
      <w:proofErr w:type="spellEnd"/>
      <w:r w:rsidRPr="003077DD">
        <w:rPr>
          <w:szCs w:val="24"/>
        </w:rPr>
        <w:t xml:space="preserve"> Kawasaki. A </w:t>
      </w:r>
      <w:proofErr w:type="spellStart"/>
      <w:r w:rsidRPr="003077DD">
        <w:rPr>
          <w:szCs w:val="24"/>
        </w:rPr>
        <w:t>sorologia</w:t>
      </w:r>
      <w:proofErr w:type="spellEnd"/>
      <w:r w:rsidRPr="003077DD">
        <w:rPr>
          <w:szCs w:val="24"/>
        </w:rPr>
        <w:t xml:space="preserve"> </w:t>
      </w:r>
      <w:proofErr w:type="spellStart"/>
      <w:r w:rsidRPr="003077DD">
        <w:rPr>
          <w:szCs w:val="24"/>
        </w:rPr>
        <w:t>IgG</w:t>
      </w:r>
      <w:proofErr w:type="spellEnd"/>
      <w:r w:rsidRPr="003077DD">
        <w:rPr>
          <w:szCs w:val="24"/>
        </w:rPr>
        <w:t xml:space="preserve"> anti-</w:t>
      </w:r>
      <w:proofErr w:type="spellStart"/>
      <w:r w:rsidRPr="003077DD">
        <w:rPr>
          <w:szCs w:val="24"/>
        </w:rPr>
        <w:t>spike</w:t>
      </w:r>
      <w:proofErr w:type="spellEnd"/>
      <w:r w:rsidRPr="003077DD">
        <w:rPr>
          <w:szCs w:val="24"/>
        </w:rPr>
        <w:t xml:space="preserve"> </w:t>
      </w:r>
      <w:proofErr w:type="spellStart"/>
      <w:r w:rsidRPr="003077DD">
        <w:rPr>
          <w:szCs w:val="24"/>
        </w:rPr>
        <w:t>foi</w:t>
      </w:r>
      <w:proofErr w:type="spellEnd"/>
      <w:r w:rsidRPr="003077DD">
        <w:rPr>
          <w:szCs w:val="24"/>
        </w:rPr>
        <w:t xml:space="preserve"> positiva e a </w:t>
      </w:r>
      <w:proofErr w:type="spellStart"/>
      <w:r w:rsidRPr="003077DD">
        <w:rPr>
          <w:szCs w:val="24"/>
        </w:rPr>
        <w:t>gM</w:t>
      </w:r>
      <w:proofErr w:type="spellEnd"/>
      <w:r w:rsidRPr="003077DD">
        <w:rPr>
          <w:szCs w:val="24"/>
        </w:rPr>
        <w:t xml:space="preserve"> negativa, </w:t>
      </w:r>
      <w:proofErr w:type="spellStart"/>
      <w:r w:rsidRPr="003077DD">
        <w:rPr>
          <w:szCs w:val="24"/>
        </w:rPr>
        <w:t>com</w:t>
      </w:r>
      <w:proofErr w:type="spellEnd"/>
      <w:r w:rsidRPr="003077DD">
        <w:rPr>
          <w:szCs w:val="24"/>
        </w:rPr>
        <w:t xml:space="preserve"> </w:t>
      </w:r>
      <w:proofErr w:type="spellStart"/>
      <w:r w:rsidRPr="003077DD">
        <w:rPr>
          <w:szCs w:val="24"/>
        </w:rPr>
        <w:t>parâmetros</w:t>
      </w:r>
      <w:proofErr w:type="spellEnd"/>
      <w:r w:rsidRPr="003077DD">
        <w:rPr>
          <w:szCs w:val="24"/>
        </w:rPr>
        <w:t xml:space="preserve"> </w:t>
      </w:r>
      <w:proofErr w:type="spellStart"/>
      <w:r w:rsidRPr="003077DD">
        <w:rPr>
          <w:szCs w:val="24"/>
        </w:rPr>
        <w:t>inflamatórios</w:t>
      </w:r>
      <w:proofErr w:type="spellEnd"/>
      <w:r w:rsidRPr="003077DD">
        <w:rPr>
          <w:szCs w:val="24"/>
        </w:rPr>
        <w:t xml:space="preserve"> superiores, indicando </w:t>
      </w:r>
      <w:proofErr w:type="spellStart"/>
      <w:r w:rsidRPr="003077DD">
        <w:rPr>
          <w:szCs w:val="24"/>
        </w:rPr>
        <w:t>uma</w:t>
      </w:r>
      <w:proofErr w:type="spellEnd"/>
      <w:r w:rsidRPr="003077DD">
        <w:rPr>
          <w:szCs w:val="24"/>
        </w:rPr>
        <w:t xml:space="preserve"> síndrome </w:t>
      </w:r>
      <w:proofErr w:type="spellStart"/>
      <w:r w:rsidRPr="003077DD">
        <w:rPr>
          <w:szCs w:val="24"/>
        </w:rPr>
        <w:t>multissistêmica</w:t>
      </w:r>
      <w:proofErr w:type="spellEnd"/>
      <w:r w:rsidRPr="003077DD">
        <w:rPr>
          <w:szCs w:val="24"/>
        </w:rPr>
        <w:t xml:space="preserve"> </w:t>
      </w:r>
      <w:proofErr w:type="spellStart"/>
      <w:r w:rsidRPr="003077DD">
        <w:rPr>
          <w:szCs w:val="24"/>
        </w:rPr>
        <w:t>pós</w:t>
      </w:r>
      <w:proofErr w:type="spellEnd"/>
      <w:r w:rsidRPr="003077DD">
        <w:rPr>
          <w:szCs w:val="24"/>
        </w:rPr>
        <w:t xml:space="preserve"> </w:t>
      </w:r>
      <w:proofErr w:type="spellStart"/>
      <w:r w:rsidRPr="003077DD">
        <w:rPr>
          <w:szCs w:val="24"/>
        </w:rPr>
        <w:t>Covid</w:t>
      </w:r>
      <w:proofErr w:type="spellEnd"/>
      <w:r w:rsidRPr="003077DD">
        <w:rPr>
          <w:szCs w:val="24"/>
        </w:rPr>
        <w:t xml:space="preserve"> 1</w:t>
      </w:r>
      <w:r w:rsidRPr="003077DD">
        <w:rPr>
          <w:szCs w:val="24"/>
        </w:rPr>
        <w:t xml:space="preserve">9. O </w:t>
      </w:r>
      <w:proofErr w:type="spellStart"/>
      <w:r w:rsidRPr="003077DD">
        <w:rPr>
          <w:szCs w:val="24"/>
        </w:rPr>
        <w:t>tratamento</w:t>
      </w:r>
      <w:proofErr w:type="spellEnd"/>
      <w:r w:rsidRPr="003077DD">
        <w:rPr>
          <w:szCs w:val="24"/>
        </w:rPr>
        <w:t xml:space="preserve"> </w:t>
      </w:r>
      <w:proofErr w:type="spellStart"/>
      <w:r w:rsidRPr="003077DD">
        <w:rPr>
          <w:szCs w:val="24"/>
        </w:rPr>
        <w:t>recebido</w:t>
      </w:r>
      <w:proofErr w:type="spellEnd"/>
      <w:r w:rsidRPr="003077DD">
        <w:rPr>
          <w:szCs w:val="24"/>
        </w:rPr>
        <w:t xml:space="preserve"> </w:t>
      </w:r>
      <w:proofErr w:type="spellStart"/>
      <w:r w:rsidRPr="003077DD">
        <w:rPr>
          <w:szCs w:val="24"/>
        </w:rPr>
        <w:t>foi</w:t>
      </w:r>
      <w:proofErr w:type="spellEnd"/>
      <w:r w:rsidRPr="003077DD">
        <w:rPr>
          <w:szCs w:val="24"/>
        </w:rPr>
        <w:t xml:space="preserve"> </w:t>
      </w:r>
      <w:proofErr w:type="spellStart"/>
      <w:r w:rsidRPr="003077DD">
        <w:rPr>
          <w:szCs w:val="24"/>
        </w:rPr>
        <w:t>imunoglobulina</w:t>
      </w:r>
      <w:proofErr w:type="spellEnd"/>
      <w:r w:rsidRPr="003077DD">
        <w:rPr>
          <w:szCs w:val="24"/>
        </w:rPr>
        <w:t xml:space="preserve"> intravenosa, AAS e Metilprednisolona. </w:t>
      </w:r>
      <w:proofErr w:type="spellStart"/>
      <w:r w:rsidRPr="003077DD">
        <w:rPr>
          <w:szCs w:val="24"/>
        </w:rPr>
        <w:t>Com</w:t>
      </w:r>
      <w:proofErr w:type="spellEnd"/>
      <w:r w:rsidRPr="003077DD">
        <w:rPr>
          <w:szCs w:val="24"/>
        </w:rPr>
        <w:t xml:space="preserve"> o </w:t>
      </w:r>
      <w:proofErr w:type="spellStart"/>
      <w:r w:rsidRPr="003077DD">
        <w:rPr>
          <w:szCs w:val="24"/>
        </w:rPr>
        <w:t>fim</w:t>
      </w:r>
      <w:proofErr w:type="spellEnd"/>
      <w:r w:rsidRPr="003077DD">
        <w:rPr>
          <w:szCs w:val="24"/>
        </w:rPr>
        <w:t xml:space="preserve"> de descartar a </w:t>
      </w:r>
      <w:proofErr w:type="spellStart"/>
      <w:r w:rsidRPr="003077DD">
        <w:rPr>
          <w:szCs w:val="24"/>
        </w:rPr>
        <w:t>possibilidade</w:t>
      </w:r>
      <w:proofErr w:type="spellEnd"/>
      <w:r w:rsidRPr="003077DD">
        <w:rPr>
          <w:szCs w:val="24"/>
        </w:rPr>
        <w:t xml:space="preserve"> de </w:t>
      </w:r>
      <w:proofErr w:type="spellStart"/>
      <w:r w:rsidRPr="003077DD">
        <w:rPr>
          <w:szCs w:val="24"/>
        </w:rPr>
        <w:t>um</w:t>
      </w:r>
      <w:proofErr w:type="spellEnd"/>
      <w:r w:rsidRPr="003077DD">
        <w:rPr>
          <w:szCs w:val="24"/>
        </w:rPr>
        <w:t xml:space="preserve"> evento </w:t>
      </w:r>
      <w:proofErr w:type="spellStart"/>
      <w:r w:rsidRPr="003077DD">
        <w:rPr>
          <w:szCs w:val="24"/>
        </w:rPr>
        <w:t>supostamente</w:t>
      </w:r>
      <w:proofErr w:type="spellEnd"/>
      <w:r w:rsidRPr="003077DD">
        <w:rPr>
          <w:szCs w:val="24"/>
        </w:rPr>
        <w:t xml:space="preserve"> </w:t>
      </w:r>
      <w:proofErr w:type="spellStart"/>
      <w:r w:rsidRPr="003077DD">
        <w:rPr>
          <w:szCs w:val="24"/>
        </w:rPr>
        <w:t>atribuível</w:t>
      </w:r>
      <w:proofErr w:type="spellEnd"/>
      <w:r w:rsidRPr="003077DD">
        <w:rPr>
          <w:szCs w:val="24"/>
        </w:rPr>
        <w:t xml:space="preserve"> à </w:t>
      </w:r>
      <w:proofErr w:type="spellStart"/>
      <w:r w:rsidRPr="003077DD">
        <w:rPr>
          <w:szCs w:val="24"/>
        </w:rPr>
        <w:t>vacinação</w:t>
      </w:r>
      <w:proofErr w:type="spellEnd"/>
      <w:r w:rsidRPr="003077DD">
        <w:rPr>
          <w:szCs w:val="24"/>
        </w:rPr>
        <w:t xml:space="preserve"> </w:t>
      </w:r>
      <w:proofErr w:type="spellStart"/>
      <w:r w:rsidRPr="003077DD">
        <w:rPr>
          <w:szCs w:val="24"/>
        </w:rPr>
        <w:t>ou</w:t>
      </w:r>
      <w:proofErr w:type="spellEnd"/>
      <w:r w:rsidRPr="003077DD">
        <w:rPr>
          <w:szCs w:val="24"/>
        </w:rPr>
        <w:t xml:space="preserve"> </w:t>
      </w:r>
      <w:proofErr w:type="spellStart"/>
      <w:r w:rsidRPr="003077DD">
        <w:rPr>
          <w:szCs w:val="24"/>
        </w:rPr>
        <w:t>vacinação</w:t>
      </w:r>
      <w:proofErr w:type="spellEnd"/>
      <w:r w:rsidRPr="003077DD">
        <w:rPr>
          <w:szCs w:val="24"/>
        </w:rPr>
        <w:t xml:space="preserve"> positiva (ESAVI), </w:t>
      </w:r>
      <w:proofErr w:type="spellStart"/>
      <w:r w:rsidRPr="003077DD">
        <w:rPr>
          <w:szCs w:val="24"/>
        </w:rPr>
        <w:t>realizou</w:t>
      </w:r>
      <w:proofErr w:type="spellEnd"/>
      <w:r w:rsidRPr="003077DD">
        <w:rPr>
          <w:szCs w:val="24"/>
        </w:rPr>
        <w:t xml:space="preserve">-se </w:t>
      </w:r>
      <w:proofErr w:type="spellStart"/>
      <w:r w:rsidRPr="003077DD">
        <w:rPr>
          <w:szCs w:val="24"/>
        </w:rPr>
        <w:t>uma</w:t>
      </w:r>
      <w:proofErr w:type="spellEnd"/>
      <w:r w:rsidRPr="003077DD">
        <w:rPr>
          <w:szCs w:val="24"/>
        </w:rPr>
        <w:t xml:space="preserve"> busca </w:t>
      </w:r>
      <w:proofErr w:type="spellStart"/>
      <w:r w:rsidRPr="003077DD">
        <w:rPr>
          <w:szCs w:val="24"/>
        </w:rPr>
        <w:t>sorológica</w:t>
      </w:r>
      <w:proofErr w:type="spellEnd"/>
      <w:r w:rsidRPr="003077DD">
        <w:rPr>
          <w:szCs w:val="24"/>
        </w:rPr>
        <w:t xml:space="preserve"> para SARS COV2, </w:t>
      </w:r>
      <w:proofErr w:type="spellStart"/>
      <w:r w:rsidRPr="003077DD">
        <w:rPr>
          <w:szCs w:val="24"/>
        </w:rPr>
        <w:t>atravé</w:t>
      </w:r>
      <w:r w:rsidRPr="003077DD">
        <w:rPr>
          <w:szCs w:val="24"/>
        </w:rPr>
        <w:t>s</w:t>
      </w:r>
      <w:proofErr w:type="spellEnd"/>
      <w:r w:rsidRPr="003077DD">
        <w:rPr>
          <w:szCs w:val="24"/>
        </w:rPr>
        <w:t xml:space="preserve"> de </w:t>
      </w:r>
      <w:proofErr w:type="spellStart"/>
      <w:r w:rsidRPr="003077DD">
        <w:rPr>
          <w:szCs w:val="24"/>
        </w:rPr>
        <w:t>um</w:t>
      </w:r>
      <w:proofErr w:type="spellEnd"/>
      <w:r w:rsidRPr="003077DD">
        <w:rPr>
          <w:szCs w:val="24"/>
        </w:rPr>
        <w:t xml:space="preserve"> </w:t>
      </w:r>
      <w:proofErr w:type="spellStart"/>
      <w:r w:rsidRPr="003077DD">
        <w:rPr>
          <w:szCs w:val="24"/>
        </w:rPr>
        <w:t>estúdio</w:t>
      </w:r>
      <w:proofErr w:type="spellEnd"/>
      <w:r w:rsidRPr="003077DD">
        <w:rPr>
          <w:szCs w:val="24"/>
        </w:rPr>
        <w:t xml:space="preserve"> </w:t>
      </w:r>
      <w:proofErr w:type="spellStart"/>
      <w:r w:rsidRPr="003077DD">
        <w:rPr>
          <w:szCs w:val="24"/>
        </w:rPr>
        <w:t>qualitativo</w:t>
      </w:r>
      <w:proofErr w:type="spellEnd"/>
      <w:r w:rsidRPr="003077DD">
        <w:rPr>
          <w:szCs w:val="24"/>
        </w:rPr>
        <w:t xml:space="preserve">, procurando </w:t>
      </w:r>
      <w:proofErr w:type="spellStart"/>
      <w:r w:rsidRPr="003077DD">
        <w:rPr>
          <w:szCs w:val="24"/>
        </w:rPr>
        <w:t>anticorpos</w:t>
      </w:r>
      <w:proofErr w:type="spellEnd"/>
      <w:r w:rsidRPr="003077DD">
        <w:rPr>
          <w:szCs w:val="24"/>
        </w:rPr>
        <w:t xml:space="preserve"> </w:t>
      </w:r>
      <w:proofErr w:type="spellStart"/>
      <w:r w:rsidRPr="003077DD">
        <w:rPr>
          <w:szCs w:val="24"/>
        </w:rPr>
        <w:t>não</w:t>
      </w:r>
      <w:proofErr w:type="spellEnd"/>
      <w:r w:rsidRPr="003077DD">
        <w:rPr>
          <w:szCs w:val="24"/>
        </w:rPr>
        <w:t xml:space="preserve"> </w:t>
      </w:r>
      <w:proofErr w:type="spellStart"/>
      <w:r w:rsidRPr="003077DD">
        <w:rPr>
          <w:szCs w:val="24"/>
        </w:rPr>
        <w:t>gerados</w:t>
      </w:r>
      <w:proofErr w:type="spellEnd"/>
      <w:r w:rsidRPr="003077DD">
        <w:rPr>
          <w:szCs w:val="24"/>
        </w:rPr>
        <w:t xml:space="preserve"> pela </w:t>
      </w:r>
      <w:proofErr w:type="spellStart"/>
      <w:r w:rsidRPr="003077DD">
        <w:rPr>
          <w:szCs w:val="24"/>
        </w:rPr>
        <w:t>vacina</w:t>
      </w:r>
      <w:proofErr w:type="spellEnd"/>
      <w:r w:rsidRPr="003077DD">
        <w:rPr>
          <w:szCs w:val="24"/>
        </w:rPr>
        <w:t xml:space="preserve"> Pfizer, os </w:t>
      </w:r>
      <w:proofErr w:type="spellStart"/>
      <w:r w:rsidRPr="003077DD">
        <w:rPr>
          <w:szCs w:val="24"/>
        </w:rPr>
        <w:t>quais</w:t>
      </w:r>
      <w:proofErr w:type="spellEnd"/>
      <w:r w:rsidRPr="003077DD">
        <w:rPr>
          <w:szCs w:val="24"/>
        </w:rPr>
        <w:t xml:space="preserve"> </w:t>
      </w:r>
      <w:proofErr w:type="spellStart"/>
      <w:r w:rsidRPr="003077DD">
        <w:rPr>
          <w:szCs w:val="24"/>
        </w:rPr>
        <w:t>foram</w:t>
      </w:r>
      <w:proofErr w:type="spellEnd"/>
      <w:r w:rsidRPr="003077DD">
        <w:rPr>
          <w:szCs w:val="24"/>
        </w:rPr>
        <w:t xml:space="preserve"> confirmados.  </w:t>
      </w:r>
      <w:proofErr w:type="spellStart"/>
      <w:r w:rsidRPr="003077DD">
        <w:rPr>
          <w:szCs w:val="24"/>
        </w:rPr>
        <w:t>Nesta</w:t>
      </w:r>
      <w:proofErr w:type="spellEnd"/>
      <w:r w:rsidRPr="003077DD">
        <w:rPr>
          <w:szCs w:val="24"/>
        </w:rPr>
        <w:t xml:space="preserve"> forma, confirmamos a </w:t>
      </w:r>
      <w:proofErr w:type="spellStart"/>
      <w:r w:rsidRPr="003077DD">
        <w:rPr>
          <w:szCs w:val="24"/>
        </w:rPr>
        <w:t>etiologia</w:t>
      </w:r>
      <w:proofErr w:type="spellEnd"/>
      <w:r w:rsidRPr="003077DD">
        <w:rPr>
          <w:szCs w:val="24"/>
        </w:rPr>
        <w:t xml:space="preserve"> </w:t>
      </w:r>
      <w:proofErr w:type="spellStart"/>
      <w:r w:rsidRPr="003077DD">
        <w:rPr>
          <w:szCs w:val="24"/>
        </w:rPr>
        <w:t>pós-Covid</w:t>
      </w:r>
      <w:proofErr w:type="spellEnd"/>
      <w:r w:rsidRPr="003077DD">
        <w:rPr>
          <w:szCs w:val="24"/>
        </w:rPr>
        <w:t xml:space="preserve"> e descartamos a </w:t>
      </w:r>
      <w:proofErr w:type="spellStart"/>
      <w:r w:rsidRPr="003077DD">
        <w:rPr>
          <w:szCs w:val="24"/>
        </w:rPr>
        <w:t>etiologia</w:t>
      </w:r>
      <w:proofErr w:type="spellEnd"/>
      <w:r w:rsidRPr="003077DD">
        <w:rPr>
          <w:szCs w:val="24"/>
        </w:rPr>
        <w:t xml:space="preserve"> por ESAVI. </w:t>
      </w:r>
      <w:proofErr w:type="spellStart"/>
      <w:r w:rsidRPr="003077DD">
        <w:rPr>
          <w:szCs w:val="24"/>
        </w:rPr>
        <w:t>Aliás</w:t>
      </w:r>
      <w:proofErr w:type="spellEnd"/>
      <w:r w:rsidRPr="003077DD">
        <w:rPr>
          <w:szCs w:val="24"/>
        </w:rPr>
        <w:t xml:space="preserve">, realizamos </w:t>
      </w:r>
      <w:proofErr w:type="spellStart"/>
      <w:r w:rsidRPr="003077DD">
        <w:rPr>
          <w:szCs w:val="24"/>
        </w:rPr>
        <w:t>um</w:t>
      </w:r>
      <w:proofErr w:type="spellEnd"/>
      <w:r w:rsidRPr="003077DD">
        <w:rPr>
          <w:szCs w:val="24"/>
        </w:rPr>
        <w:t xml:space="preserve"> </w:t>
      </w:r>
      <w:proofErr w:type="spellStart"/>
      <w:r w:rsidRPr="003077DD">
        <w:rPr>
          <w:szCs w:val="24"/>
        </w:rPr>
        <w:t>estudo</w:t>
      </w:r>
      <w:proofErr w:type="spellEnd"/>
      <w:r w:rsidRPr="003077DD">
        <w:rPr>
          <w:szCs w:val="24"/>
        </w:rPr>
        <w:t xml:space="preserve"> </w:t>
      </w:r>
      <w:proofErr w:type="spellStart"/>
      <w:r w:rsidRPr="003077DD">
        <w:rPr>
          <w:szCs w:val="24"/>
        </w:rPr>
        <w:t>quantitativo</w:t>
      </w:r>
      <w:proofErr w:type="spellEnd"/>
      <w:r w:rsidRPr="003077DD">
        <w:rPr>
          <w:szCs w:val="24"/>
        </w:rPr>
        <w:t xml:space="preserve"> dos </w:t>
      </w:r>
      <w:proofErr w:type="spellStart"/>
      <w:r w:rsidRPr="003077DD">
        <w:rPr>
          <w:szCs w:val="24"/>
        </w:rPr>
        <w:t>anticorpos</w:t>
      </w:r>
      <w:proofErr w:type="spellEnd"/>
      <w:r w:rsidRPr="003077DD">
        <w:rPr>
          <w:szCs w:val="24"/>
        </w:rPr>
        <w:t xml:space="preserve"> anti</w:t>
      </w:r>
      <w:r w:rsidRPr="003077DD">
        <w:rPr>
          <w:szCs w:val="24"/>
        </w:rPr>
        <w:t>-</w:t>
      </w:r>
      <w:proofErr w:type="spellStart"/>
      <w:r w:rsidRPr="003077DD">
        <w:rPr>
          <w:szCs w:val="24"/>
        </w:rPr>
        <w:t>spike</w:t>
      </w:r>
      <w:proofErr w:type="spellEnd"/>
      <w:r w:rsidRPr="003077DD">
        <w:rPr>
          <w:szCs w:val="24"/>
        </w:rPr>
        <w:t xml:space="preserve"> e </w:t>
      </w:r>
      <w:proofErr w:type="spellStart"/>
      <w:r w:rsidRPr="003077DD">
        <w:rPr>
          <w:szCs w:val="24"/>
        </w:rPr>
        <w:t>comprovamos</w:t>
      </w:r>
      <w:proofErr w:type="spellEnd"/>
      <w:r w:rsidRPr="003077DD">
        <w:rPr>
          <w:szCs w:val="24"/>
        </w:rPr>
        <w:t xml:space="preserve"> a </w:t>
      </w:r>
      <w:proofErr w:type="spellStart"/>
      <w:r w:rsidRPr="003077DD">
        <w:rPr>
          <w:szCs w:val="24"/>
        </w:rPr>
        <w:t>sua</w:t>
      </w:r>
      <w:proofErr w:type="spellEnd"/>
      <w:r w:rsidRPr="003077DD">
        <w:rPr>
          <w:szCs w:val="24"/>
        </w:rPr>
        <w:t xml:space="preserve"> </w:t>
      </w:r>
      <w:proofErr w:type="spellStart"/>
      <w:r w:rsidRPr="003077DD">
        <w:rPr>
          <w:szCs w:val="24"/>
        </w:rPr>
        <w:t>diminuição</w:t>
      </w:r>
      <w:proofErr w:type="spellEnd"/>
      <w:r w:rsidRPr="003077DD">
        <w:rPr>
          <w:szCs w:val="24"/>
        </w:rPr>
        <w:t xml:space="preserve"> a </w:t>
      </w:r>
      <w:proofErr w:type="spellStart"/>
      <w:r w:rsidRPr="003077DD">
        <w:rPr>
          <w:szCs w:val="24"/>
        </w:rPr>
        <w:t>um</w:t>
      </w:r>
      <w:proofErr w:type="spellEnd"/>
      <w:r w:rsidRPr="003077DD">
        <w:rPr>
          <w:szCs w:val="24"/>
        </w:rPr>
        <w:t xml:space="preserve"> </w:t>
      </w:r>
      <w:proofErr w:type="spellStart"/>
      <w:r w:rsidRPr="003077DD">
        <w:rPr>
          <w:szCs w:val="24"/>
        </w:rPr>
        <w:t>mês</w:t>
      </w:r>
      <w:proofErr w:type="spellEnd"/>
      <w:r w:rsidRPr="003077DD">
        <w:rPr>
          <w:szCs w:val="24"/>
        </w:rPr>
        <w:t xml:space="preserve"> de ter acontecido o debut.</w:t>
      </w:r>
    </w:p>
    <w:p w14:paraId="41626C98" w14:textId="034C61C4" w:rsidR="00036EF0" w:rsidRPr="003077DD" w:rsidRDefault="008E10BF" w:rsidP="008E10BF">
      <w:pPr>
        <w:spacing w:after="0" w:line="240" w:lineRule="auto"/>
        <w:jc w:val="left"/>
        <w:rPr>
          <w:szCs w:val="24"/>
        </w:rPr>
      </w:pPr>
      <w:proofErr w:type="spellStart"/>
      <w:r w:rsidRPr="00085106">
        <w:rPr>
          <w:b/>
          <w:bCs/>
        </w:rPr>
        <w:t>Palavras</w:t>
      </w:r>
      <w:proofErr w:type="spellEnd"/>
      <w:r w:rsidRPr="00085106">
        <w:rPr>
          <w:b/>
          <w:bCs/>
        </w:rPr>
        <w:t xml:space="preserve"> chave:</w:t>
      </w:r>
      <w:r w:rsidR="00085106">
        <w:rPr>
          <w:b/>
          <w:bCs/>
        </w:rPr>
        <w:t xml:space="preserve"> </w:t>
      </w:r>
      <w:r w:rsidRPr="00085106">
        <w:t xml:space="preserve">Síndrome de </w:t>
      </w:r>
      <w:proofErr w:type="spellStart"/>
      <w:r w:rsidRPr="00085106">
        <w:t>resposta</w:t>
      </w:r>
      <w:proofErr w:type="spellEnd"/>
      <w:r w:rsidRPr="00085106">
        <w:t xml:space="preserve"> </w:t>
      </w:r>
      <w:proofErr w:type="spellStart"/>
      <w:r w:rsidRPr="003077DD">
        <w:rPr>
          <w:szCs w:val="24"/>
        </w:rPr>
        <w:t>inflamatória</w:t>
      </w:r>
      <w:proofErr w:type="spellEnd"/>
      <w:r w:rsidRPr="003077DD">
        <w:rPr>
          <w:szCs w:val="24"/>
        </w:rPr>
        <w:t xml:space="preserve"> </w:t>
      </w:r>
      <w:r w:rsidR="00085106">
        <w:rPr>
          <w:szCs w:val="24"/>
        </w:rPr>
        <w:t xml:space="preserve">sistémica; </w:t>
      </w:r>
      <w:r w:rsidRPr="003077DD">
        <w:rPr>
          <w:szCs w:val="24"/>
        </w:rPr>
        <w:t>COVID-19</w:t>
      </w:r>
      <w:r w:rsidR="002425CD">
        <w:rPr>
          <w:szCs w:val="24"/>
        </w:rPr>
        <w:t xml:space="preserve">; </w:t>
      </w:r>
      <w:proofErr w:type="spellStart"/>
      <w:r w:rsidRPr="003077DD">
        <w:rPr>
          <w:szCs w:val="24"/>
        </w:rPr>
        <w:t>Doença</w:t>
      </w:r>
      <w:proofErr w:type="spellEnd"/>
      <w:r w:rsidRPr="003077DD">
        <w:rPr>
          <w:szCs w:val="24"/>
        </w:rPr>
        <w:t xml:space="preserve"> de Kawasaki</w:t>
      </w:r>
      <w:r w:rsidR="002425CD">
        <w:rPr>
          <w:szCs w:val="24"/>
        </w:rPr>
        <w:t xml:space="preserve">; </w:t>
      </w:r>
      <w:proofErr w:type="spellStart"/>
      <w:r w:rsidRPr="003077DD">
        <w:rPr>
          <w:szCs w:val="24"/>
        </w:rPr>
        <w:t>Criança</w:t>
      </w:r>
      <w:proofErr w:type="spellEnd"/>
    </w:p>
    <w:p w14:paraId="12CD2B16" w14:textId="77777777" w:rsidR="002425CD" w:rsidRDefault="002425CD" w:rsidP="008E10BF">
      <w:pPr>
        <w:spacing w:after="0" w:line="240" w:lineRule="auto"/>
        <w:jc w:val="center"/>
        <w:rPr>
          <w:b/>
          <w:sz w:val="32"/>
        </w:rPr>
      </w:pPr>
    </w:p>
    <w:p w14:paraId="2059365F" w14:textId="77777777" w:rsidR="002425CD" w:rsidRDefault="002425CD" w:rsidP="008E10BF">
      <w:pPr>
        <w:spacing w:after="0" w:line="240" w:lineRule="auto"/>
        <w:jc w:val="center"/>
        <w:rPr>
          <w:b/>
          <w:sz w:val="32"/>
        </w:rPr>
      </w:pPr>
    </w:p>
    <w:p w14:paraId="77ECC96C" w14:textId="1987A3B8" w:rsidR="00036EF0" w:rsidRDefault="008E10BF" w:rsidP="008E10BF">
      <w:pPr>
        <w:spacing w:after="0" w:line="240" w:lineRule="auto"/>
        <w:jc w:val="center"/>
        <w:rPr>
          <w:b/>
          <w:sz w:val="32"/>
        </w:rPr>
      </w:pPr>
      <w:r w:rsidRPr="002425CD">
        <w:rPr>
          <w:b/>
          <w:sz w:val="32"/>
        </w:rPr>
        <w:lastRenderedPageBreak/>
        <w:t>Introducción</w:t>
      </w:r>
    </w:p>
    <w:p w14:paraId="03A08F15" w14:textId="419DC5D0" w:rsidR="002425CD" w:rsidRDefault="002425CD" w:rsidP="008E10BF">
      <w:pPr>
        <w:spacing w:after="0" w:line="240" w:lineRule="auto"/>
        <w:jc w:val="center"/>
        <w:rPr>
          <w:b/>
          <w:sz w:val="32"/>
        </w:rPr>
      </w:pPr>
    </w:p>
    <w:p w14:paraId="5CBA8458" w14:textId="77777777" w:rsidR="002425CD" w:rsidRPr="002425CD" w:rsidRDefault="002425CD" w:rsidP="008E10BF">
      <w:pPr>
        <w:spacing w:after="0" w:line="240" w:lineRule="auto"/>
        <w:jc w:val="center"/>
        <w:rPr>
          <w:b/>
          <w:sz w:val="32"/>
        </w:rPr>
      </w:pPr>
    </w:p>
    <w:p w14:paraId="51F83C01" w14:textId="77777777" w:rsidR="00036EF0" w:rsidRPr="003077DD" w:rsidRDefault="008E10BF" w:rsidP="008E10BF">
      <w:pPr>
        <w:spacing w:after="0" w:line="240" w:lineRule="auto"/>
        <w:rPr>
          <w:szCs w:val="24"/>
        </w:rPr>
      </w:pPr>
      <w:r w:rsidRPr="003077DD">
        <w:rPr>
          <w:szCs w:val="24"/>
        </w:rPr>
        <w:t>El SARS-CoV-2 afecta a un reducido número de pacientes pediátricos</w:t>
      </w:r>
      <w:r w:rsidRPr="003077DD">
        <w:rPr>
          <w:szCs w:val="24"/>
        </w:rPr>
        <w:t>, la mayoría son asintomáticos o presentan compromiso respiratorio leve y evolución favorable. Sin embargo, en niños previamente sanos puede aparecer el</w:t>
      </w:r>
      <w:r w:rsidRPr="003077DD">
        <w:rPr>
          <w:szCs w:val="24"/>
          <w:rtl/>
          <w:lang w:bidi="ar-YE"/>
        </w:rPr>
        <w:t xml:space="preserve"> </w:t>
      </w:r>
      <w:r w:rsidRPr="003077DD">
        <w:rPr>
          <w:szCs w:val="24"/>
          <w:lang w:bidi="ar-YE"/>
        </w:rPr>
        <w:t>síndrome inflamatorio multisistémico (SIM-C) o similar a Kawasaki</w:t>
      </w:r>
      <w:r w:rsidRPr="003077DD">
        <w:rPr>
          <w:szCs w:val="24"/>
        </w:rPr>
        <w:t xml:space="preserve"> asociado a la enfermedad por COVID-19, que evoluciona al shock y puede requerir internación en unidad de cuidados </w:t>
      </w:r>
      <w:proofErr w:type="gramStart"/>
      <w:r w:rsidRPr="003077DD">
        <w:rPr>
          <w:szCs w:val="24"/>
        </w:rPr>
        <w:t>intensivos</w:t>
      </w:r>
      <w:r w:rsidRPr="003077DD">
        <w:rPr>
          <w:szCs w:val="24"/>
          <w:vertAlign w:val="superscript"/>
        </w:rPr>
        <w:t>(</w:t>
      </w:r>
      <w:proofErr w:type="gramEnd"/>
      <w:r w:rsidRPr="003077DD">
        <w:rPr>
          <w:szCs w:val="24"/>
          <w:vertAlign w:val="superscript"/>
        </w:rPr>
        <w:t>1-3)</w:t>
      </w:r>
      <w:r w:rsidRPr="003077DD">
        <w:rPr>
          <w:szCs w:val="24"/>
        </w:rPr>
        <w:t>.</w:t>
      </w:r>
      <w:r w:rsidRPr="003077DD">
        <w:rPr>
          <w:szCs w:val="24"/>
          <w:vertAlign w:val="superscript"/>
        </w:rPr>
        <w:t xml:space="preserve"> </w:t>
      </w:r>
      <w:r w:rsidRPr="003077DD">
        <w:rPr>
          <w:szCs w:val="24"/>
        </w:rPr>
        <w:t>Se asocia a una infección activa o reciente por SARS-CoV-2 y se caracteriza por presentación clínica y laboratorio similares</w:t>
      </w:r>
      <w:r w:rsidRPr="003077DD">
        <w:rPr>
          <w:szCs w:val="24"/>
        </w:rPr>
        <w:t xml:space="preserve"> a los que se encuentran en la enfermedad de Kawasaki, el síndrome de </w:t>
      </w:r>
      <w:r w:rsidRPr="003077DD">
        <w:rPr>
          <w:i/>
          <w:iCs/>
          <w:szCs w:val="24"/>
        </w:rPr>
        <w:t>shock</w:t>
      </w:r>
      <w:r w:rsidRPr="003077DD">
        <w:rPr>
          <w:szCs w:val="24"/>
          <w:rtl/>
          <w:lang w:bidi="ar-YE"/>
        </w:rPr>
        <w:t xml:space="preserve"> </w:t>
      </w:r>
      <w:r w:rsidRPr="003077DD">
        <w:rPr>
          <w:szCs w:val="24"/>
          <w:lang w:bidi="ar-YE"/>
        </w:rPr>
        <w:t>tóxico</w:t>
      </w:r>
      <w:r w:rsidRPr="003077DD">
        <w:rPr>
          <w:szCs w:val="24"/>
        </w:rPr>
        <w:t xml:space="preserve"> o el síndrome de activación de </w:t>
      </w:r>
      <w:proofErr w:type="gramStart"/>
      <w:r w:rsidRPr="003077DD">
        <w:rPr>
          <w:szCs w:val="24"/>
        </w:rPr>
        <w:t>macrófagos</w:t>
      </w:r>
      <w:r w:rsidRPr="003077DD">
        <w:rPr>
          <w:szCs w:val="24"/>
          <w:vertAlign w:val="superscript"/>
        </w:rPr>
        <w:t>(</w:t>
      </w:r>
      <w:proofErr w:type="gramEnd"/>
      <w:r w:rsidRPr="003077DD">
        <w:rPr>
          <w:szCs w:val="24"/>
          <w:vertAlign w:val="superscript"/>
        </w:rPr>
        <w:t>1)</w:t>
      </w:r>
      <w:r w:rsidRPr="003077DD">
        <w:rPr>
          <w:szCs w:val="24"/>
        </w:rPr>
        <w:t>.</w:t>
      </w:r>
    </w:p>
    <w:p w14:paraId="3B22D14C" w14:textId="77777777" w:rsidR="00036EF0" w:rsidRPr="003077DD" w:rsidRDefault="008E10BF" w:rsidP="008E10BF">
      <w:pPr>
        <w:spacing w:after="0" w:line="240" w:lineRule="auto"/>
        <w:rPr>
          <w:szCs w:val="24"/>
        </w:rPr>
      </w:pPr>
      <w:r w:rsidRPr="003077DD">
        <w:rPr>
          <w:szCs w:val="24"/>
        </w:rPr>
        <w:t>Su evolución es potencialmente grave y puede resultar en falla cardiovascular; aunque la mortalidad es baja (2%</w:t>
      </w:r>
      <w:proofErr w:type="gramStart"/>
      <w:r w:rsidRPr="003077DD">
        <w:rPr>
          <w:szCs w:val="24"/>
        </w:rPr>
        <w:t>)</w:t>
      </w:r>
      <w:r w:rsidRPr="003077DD">
        <w:rPr>
          <w:szCs w:val="24"/>
          <w:vertAlign w:val="superscript"/>
        </w:rPr>
        <w:t>(</w:t>
      </w:r>
      <w:proofErr w:type="gramEnd"/>
      <w:r w:rsidRPr="003077DD">
        <w:rPr>
          <w:szCs w:val="24"/>
          <w:vertAlign w:val="superscript"/>
        </w:rPr>
        <w:t>2)</w:t>
      </w:r>
      <w:r w:rsidRPr="003077DD">
        <w:rPr>
          <w:szCs w:val="24"/>
        </w:rPr>
        <w:t>.</w:t>
      </w:r>
    </w:p>
    <w:p w14:paraId="41C42FC5" w14:textId="12E88643" w:rsidR="00036EF0" w:rsidRDefault="008E10BF" w:rsidP="008E10BF">
      <w:pPr>
        <w:spacing w:after="0" w:line="240" w:lineRule="auto"/>
        <w:rPr>
          <w:szCs w:val="24"/>
        </w:rPr>
      </w:pPr>
      <w:r w:rsidRPr="003077DD">
        <w:rPr>
          <w:szCs w:val="24"/>
        </w:rPr>
        <w:t xml:space="preserve">Presentamos el caso de un adolescente de 12 años con antecedentes ambientales de madre y hermana con SARS-CoV-2 hacía 37 días. </w:t>
      </w:r>
      <w:r w:rsidRPr="003077DD">
        <w:rPr>
          <w:szCs w:val="24"/>
          <w:lang w:bidi="ar-YE"/>
        </w:rPr>
        <w:t>Él</w:t>
      </w:r>
      <w:r w:rsidRPr="003077DD">
        <w:rPr>
          <w:szCs w:val="24"/>
        </w:rPr>
        <w:t xml:space="preserve"> y su padre permanecieron asintomáticos, sin testeo. 15 días antes de su ingreso al servicio de emergencia, recibió primera dos</w:t>
      </w:r>
      <w:r w:rsidRPr="003077DD">
        <w:rPr>
          <w:szCs w:val="24"/>
        </w:rPr>
        <w:t>is de vacuna COVID-19 (Pfizer) y 13 días después comenzó con fiebre de hasta 39</w:t>
      </w:r>
      <w:r w:rsidRPr="003077DD">
        <w:rPr>
          <w:szCs w:val="24"/>
          <w:lang w:bidi="ar-YE"/>
        </w:rPr>
        <w:t>º</w:t>
      </w:r>
      <w:r w:rsidRPr="003077DD">
        <w:rPr>
          <w:szCs w:val="24"/>
        </w:rPr>
        <w:t xml:space="preserve">C, náuseas, vómitos, diarrea y dolor abdominal intenso. La paraclínica al ingreso presentaba 7.300 leucocitos/μl, 75% de neutrófilos, 15% linfocitos, 354.000 plaquetas/μl, PCR </w:t>
      </w:r>
      <w:r w:rsidRPr="003077DD">
        <w:rPr>
          <w:szCs w:val="24"/>
        </w:rPr>
        <w:t>130 mg/l. Aspirado nasofaríngeo para estudio de PCR múltiplex negativo, test de antígeno para estreptococo del grupo A negativo. Ionograma normal. Ecografía abdomen y radiografía de tórax normales. Se descartó cuadro agudo de abdomen por cirujano pediátric</w:t>
      </w:r>
      <w:r w:rsidRPr="003077DD">
        <w:rPr>
          <w:szCs w:val="24"/>
        </w:rPr>
        <w:t>o. La b</w:t>
      </w:r>
      <w:r w:rsidRPr="003077DD">
        <w:rPr>
          <w:szCs w:val="24"/>
          <w:lang w:bidi="ar-YE"/>
        </w:rPr>
        <w:t>úsqueda de rotavirus en materia fecal</w:t>
      </w:r>
      <w:r w:rsidRPr="003077DD">
        <w:rPr>
          <w:szCs w:val="24"/>
          <w:rtl/>
          <w:lang w:bidi="ar-YE"/>
        </w:rPr>
        <w:t xml:space="preserve"> </w:t>
      </w:r>
      <w:r w:rsidRPr="003077DD">
        <w:rPr>
          <w:szCs w:val="24"/>
        </w:rPr>
        <w:t>fue negativa. Se solicitó test antigénico y PCR para COVID-19 que fueron negativos. A las 24 h, por persistencia de dolor abdominal y fiebre, se realizó tomografía computada abdominal, que informó adenitis mesen</w:t>
      </w:r>
      <w:r w:rsidRPr="003077DD">
        <w:rPr>
          <w:szCs w:val="24"/>
        </w:rPr>
        <w:t xml:space="preserve">térica con líquido libre en cavidad peritoneal. A las 48 h se realizó una </w:t>
      </w:r>
      <w:proofErr w:type="spellStart"/>
      <w:r w:rsidRPr="003077DD">
        <w:rPr>
          <w:szCs w:val="24"/>
        </w:rPr>
        <w:t>fibrolaparoscopía</w:t>
      </w:r>
      <w:proofErr w:type="spellEnd"/>
      <w:r w:rsidRPr="003077DD">
        <w:rPr>
          <w:szCs w:val="24"/>
        </w:rPr>
        <w:t xml:space="preserve"> exploratoria que confirmó la adenitis mesentérica con apéndice edematoso, que se extirpó. El cultivo de líquido peritoneal fue estéril. Pasó 24 h en apirexia y sin </w:t>
      </w:r>
      <w:r w:rsidRPr="003077DD">
        <w:rPr>
          <w:szCs w:val="24"/>
        </w:rPr>
        <w:t xml:space="preserve">dolor y a los 6 días, instaló conjuntivitis bilateral no supurada y exantema en tórax </w:t>
      </w:r>
      <w:proofErr w:type="spellStart"/>
      <w:r w:rsidRPr="003077DD">
        <w:rPr>
          <w:szCs w:val="24"/>
        </w:rPr>
        <w:t>morbiliforme</w:t>
      </w:r>
      <w:proofErr w:type="spellEnd"/>
      <w:r w:rsidRPr="003077DD">
        <w:rPr>
          <w:szCs w:val="24"/>
        </w:rPr>
        <w:t xml:space="preserve">, </w:t>
      </w:r>
      <w:proofErr w:type="spellStart"/>
      <w:r w:rsidRPr="003077DD">
        <w:rPr>
          <w:szCs w:val="24"/>
        </w:rPr>
        <w:t>urticariforme</w:t>
      </w:r>
      <w:proofErr w:type="spellEnd"/>
      <w:r w:rsidRPr="003077DD">
        <w:rPr>
          <w:szCs w:val="24"/>
        </w:rPr>
        <w:t xml:space="preserve">, con algunas lesiones de centro pálido, odinofagia, astenia y lengua saburral </w:t>
      </w:r>
      <w:r>
        <w:rPr>
          <w:bCs/>
          <w:szCs w:val="24"/>
        </w:rPr>
        <w:t>(F</w:t>
      </w:r>
      <w:r w:rsidRPr="008E10BF">
        <w:rPr>
          <w:bCs/>
          <w:szCs w:val="24"/>
        </w:rPr>
        <w:t>igura 1</w:t>
      </w:r>
      <w:r w:rsidR="002425CD" w:rsidRPr="008E10BF">
        <w:rPr>
          <w:bCs/>
          <w:szCs w:val="24"/>
        </w:rPr>
        <w:t>)</w:t>
      </w:r>
      <w:r w:rsidRPr="008E10BF">
        <w:rPr>
          <w:szCs w:val="24"/>
        </w:rPr>
        <w:t xml:space="preserve">, </w:t>
      </w:r>
      <w:r>
        <w:rPr>
          <w:bCs/>
          <w:szCs w:val="24"/>
        </w:rPr>
        <w:t>(F</w:t>
      </w:r>
      <w:r w:rsidR="002425CD" w:rsidRPr="008E10BF">
        <w:rPr>
          <w:bCs/>
          <w:szCs w:val="24"/>
        </w:rPr>
        <w:t xml:space="preserve">igura </w:t>
      </w:r>
      <w:r w:rsidRPr="008E10BF">
        <w:rPr>
          <w:bCs/>
          <w:szCs w:val="24"/>
        </w:rPr>
        <w:t>2</w:t>
      </w:r>
      <w:r w:rsidR="002425CD" w:rsidRPr="008E10BF">
        <w:rPr>
          <w:bCs/>
          <w:szCs w:val="24"/>
        </w:rPr>
        <w:t>)</w:t>
      </w:r>
      <w:r w:rsidRPr="008E10BF">
        <w:rPr>
          <w:szCs w:val="24"/>
        </w:rPr>
        <w:t xml:space="preserve">, </w:t>
      </w:r>
      <w:r>
        <w:rPr>
          <w:bCs/>
          <w:szCs w:val="24"/>
        </w:rPr>
        <w:t>(F</w:t>
      </w:r>
      <w:r w:rsidR="002425CD" w:rsidRPr="008E10BF">
        <w:rPr>
          <w:bCs/>
          <w:szCs w:val="24"/>
        </w:rPr>
        <w:t xml:space="preserve">igura </w:t>
      </w:r>
      <w:r w:rsidRPr="008E10BF">
        <w:rPr>
          <w:bCs/>
          <w:szCs w:val="24"/>
        </w:rPr>
        <w:t>3</w:t>
      </w:r>
      <w:r w:rsidR="002425CD" w:rsidRPr="008E10BF">
        <w:rPr>
          <w:bCs/>
          <w:szCs w:val="24"/>
        </w:rPr>
        <w:t>)</w:t>
      </w:r>
      <w:r w:rsidRPr="008E10BF">
        <w:rPr>
          <w:szCs w:val="24"/>
        </w:rPr>
        <w:t xml:space="preserve"> y </w:t>
      </w:r>
      <w:r w:rsidR="002425CD" w:rsidRPr="008E10BF">
        <w:rPr>
          <w:bCs/>
          <w:szCs w:val="24"/>
        </w:rPr>
        <w:t>(</w:t>
      </w:r>
      <w:r>
        <w:rPr>
          <w:bCs/>
          <w:szCs w:val="24"/>
        </w:rPr>
        <w:t>F</w:t>
      </w:r>
      <w:r w:rsidR="002425CD" w:rsidRPr="008E10BF">
        <w:rPr>
          <w:bCs/>
          <w:szCs w:val="24"/>
        </w:rPr>
        <w:t xml:space="preserve">igura </w:t>
      </w:r>
      <w:r w:rsidRPr="008E10BF">
        <w:rPr>
          <w:bCs/>
          <w:szCs w:val="24"/>
        </w:rPr>
        <w:t>4)</w:t>
      </w:r>
      <w:r w:rsidRPr="008E10BF">
        <w:rPr>
          <w:szCs w:val="24"/>
        </w:rPr>
        <w:t xml:space="preserve">. </w:t>
      </w:r>
      <w:r w:rsidRPr="003077DD">
        <w:rPr>
          <w:szCs w:val="24"/>
        </w:rPr>
        <w:t>Reinicia la fie</w:t>
      </w:r>
      <w:r w:rsidRPr="003077DD">
        <w:rPr>
          <w:szCs w:val="24"/>
        </w:rPr>
        <w:t xml:space="preserve">bre y reinstala el dolor abdominal. La función hepática y renal fueron normales. Para descartar otros agentes infecciosos se solicitó test de Paul </w:t>
      </w:r>
      <w:proofErr w:type="spellStart"/>
      <w:r w:rsidRPr="003077DD">
        <w:rPr>
          <w:szCs w:val="24"/>
        </w:rPr>
        <w:t>Bunnel</w:t>
      </w:r>
      <w:proofErr w:type="spellEnd"/>
      <w:r w:rsidRPr="003077DD">
        <w:rPr>
          <w:szCs w:val="24"/>
        </w:rPr>
        <w:t xml:space="preserve"> que fue negativo. La serología para CMV y toxoplasmosis resultaron negativas. El hemocultivo fue estér</w:t>
      </w:r>
      <w:r w:rsidRPr="003077DD">
        <w:rPr>
          <w:szCs w:val="24"/>
        </w:rPr>
        <w:t>il. Se solicitó segunda PCR para COVID-19 que fue negativa. Clínicamente presentaba un fenotipo Kawasaki, por lo que se reiteró hemo</w:t>
      </w:r>
      <w:r w:rsidRPr="003077DD">
        <w:rPr>
          <w:szCs w:val="24"/>
        </w:rPr>
        <w:lastRenderedPageBreak/>
        <w:t>grama destacando 11.700 leucocitos/μl, 80% de neutrófilos y 8% de linfocitos con 383.000 plaquetas/μl, y se solicitó paraclí</w:t>
      </w:r>
      <w:r w:rsidRPr="003077DD">
        <w:rPr>
          <w:szCs w:val="24"/>
        </w:rPr>
        <w:t xml:space="preserve">nica inflamatoria: fibrinógeno 488 mg/dl (normal 180–350 mg/dl), dímeros D 1.960 ng/ml (normal 15 a 500 ng/ml) y ferritina 368 μl/l (normal 7-140 μl/l). LDH 583 μ/l (normal menos de 764 μ/l). Troponinas: menos de 14 ng/l (normal). Crasis sanguínea normal. </w:t>
      </w:r>
      <w:r w:rsidRPr="003077DD">
        <w:rPr>
          <w:szCs w:val="24"/>
        </w:rPr>
        <w:t>Proteinograma electroforético normal. De acuerdo con las manifestaciones clínicas y de laboratorio comúnmente descritas y luego de descartar agentes infecciosos alternativos que pudieran estar causando la enfermedad, se planteó síndrome multisistémico post</w:t>
      </w:r>
      <w:r w:rsidRPr="003077DD">
        <w:rPr>
          <w:szCs w:val="24"/>
        </w:rPr>
        <w:t xml:space="preserve"> COVID-19 (MIS-C</w:t>
      </w:r>
      <w:proofErr w:type="gramStart"/>
      <w:r w:rsidRPr="003077DD">
        <w:rPr>
          <w:szCs w:val="24"/>
        </w:rPr>
        <w:t>)</w:t>
      </w:r>
      <w:r w:rsidRPr="003077DD">
        <w:rPr>
          <w:szCs w:val="24"/>
          <w:vertAlign w:val="superscript"/>
        </w:rPr>
        <w:t>(</w:t>
      </w:r>
      <w:proofErr w:type="gramEnd"/>
      <w:r w:rsidRPr="003077DD">
        <w:rPr>
          <w:szCs w:val="24"/>
          <w:vertAlign w:val="superscript"/>
        </w:rPr>
        <w:t>1,3)</w:t>
      </w:r>
      <w:r w:rsidRPr="003077DD">
        <w:rPr>
          <w:szCs w:val="24"/>
        </w:rPr>
        <w:t xml:space="preserve">. Se solicitaron electrocardiograma y ecocardiograma, que fueron </w:t>
      </w:r>
      <w:proofErr w:type="gramStart"/>
      <w:r w:rsidRPr="003077DD">
        <w:rPr>
          <w:szCs w:val="24"/>
        </w:rPr>
        <w:t>normales</w:t>
      </w:r>
      <w:r w:rsidRPr="003077DD">
        <w:rPr>
          <w:szCs w:val="24"/>
          <w:vertAlign w:val="superscript"/>
        </w:rPr>
        <w:t>(</w:t>
      </w:r>
      <w:proofErr w:type="gramEnd"/>
      <w:r w:rsidRPr="003077DD">
        <w:rPr>
          <w:szCs w:val="24"/>
          <w:vertAlign w:val="superscript"/>
        </w:rPr>
        <w:t>1,2)</w:t>
      </w:r>
      <w:r w:rsidRPr="003077DD">
        <w:rPr>
          <w:szCs w:val="24"/>
        </w:rPr>
        <w:t>.</w:t>
      </w:r>
    </w:p>
    <w:p w14:paraId="384EF2A3" w14:textId="47BF3C25" w:rsidR="002425CD" w:rsidRDefault="002425CD" w:rsidP="008E10BF">
      <w:pPr>
        <w:spacing w:after="0" w:line="240" w:lineRule="auto"/>
        <w:rPr>
          <w:szCs w:val="24"/>
        </w:rPr>
      </w:pPr>
    </w:p>
    <w:p w14:paraId="0E73249F" w14:textId="12F17484" w:rsidR="002425CD" w:rsidRDefault="002425CD" w:rsidP="008E10BF">
      <w:pPr>
        <w:spacing w:after="0" w:line="240" w:lineRule="auto"/>
        <w:jc w:val="center"/>
        <w:rPr>
          <w:szCs w:val="24"/>
        </w:rPr>
      </w:pPr>
      <w:r>
        <w:rPr>
          <w:noProof/>
        </w:rPr>
        <w:drawing>
          <wp:inline distT="0" distB="0" distL="0" distR="0" wp14:anchorId="6FA4D92B" wp14:editId="222C276E">
            <wp:extent cx="3381375" cy="4114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81375" cy="4114800"/>
                    </a:xfrm>
                    <a:prstGeom prst="rect">
                      <a:avLst/>
                    </a:prstGeom>
                  </pic:spPr>
                </pic:pic>
              </a:graphicData>
            </a:graphic>
          </wp:inline>
        </w:drawing>
      </w:r>
    </w:p>
    <w:p w14:paraId="540F9F5A" w14:textId="605BD547" w:rsidR="002425CD" w:rsidRDefault="002425CD" w:rsidP="008E10BF">
      <w:pPr>
        <w:spacing w:after="0" w:line="240" w:lineRule="auto"/>
        <w:jc w:val="center"/>
        <w:rPr>
          <w:szCs w:val="24"/>
        </w:rPr>
      </w:pPr>
      <w:r w:rsidRPr="002425CD">
        <w:rPr>
          <w:b/>
          <w:bCs/>
          <w:szCs w:val="24"/>
        </w:rPr>
        <w:t>Figura 1:</w:t>
      </w:r>
      <w:r w:rsidRPr="002425CD">
        <w:rPr>
          <w:szCs w:val="24"/>
        </w:rPr>
        <w:t xml:space="preserve"> Exantema maculopapular en dorso tipo</w:t>
      </w:r>
      <w:r>
        <w:rPr>
          <w:szCs w:val="24"/>
        </w:rPr>
        <w:t xml:space="preserve"> </w:t>
      </w:r>
      <w:proofErr w:type="spellStart"/>
      <w:r w:rsidRPr="002425CD">
        <w:rPr>
          <w:szCs w:val="24"/>
        </w:rPr>
        <w:t>morbiliforme</w:t>
      </w:r>
      <w:proofErr w:type="spellEnd"/>
      <w:r w:rsidRPr="002425CD">
        <w:rPr>
          <w:szCs w:val="24"/>
        </w:rPr>
        <w:t xml:space="preserve"> </w:t>
      </w:r>
      <w:proofErr w:type="spellStart"/>
      <w:r w:rsidRPr="002425CD">
        <w:rPr>
          <w:szCs w:val="24"/>
        </w:rPr>
        <w:t>urticariforme</w:t>
      </w:r>
      <w:proofErr w:type="spellEnd"/>
      <w:r w:rsidRPr="002425CD">
        <w:rPr>
          <w:szCs w:val="24"/>
        </w:rPr>
        <w:t>.</w:t>
      </w:r>
    </w:p>
    <w:p w14:paraId="3E11F9AE" w14:textId="52A46FD6" w:rsidR="002425CD" w:rsidRDefault="002425CD" w:rsidP="008E10BF">
      <w:pPr>
        <w:spacing w:after="0" w:line="240" w:lineRule="auto"/>
        <w:jc w:val="center"/>
        <w:rPr>
          <w:szCs w:val="24"/>
        </w:rPr>
      </w:pPr>
    </w:p>
    <w:p w14:paraId="0963469A" w14:textId="5A855A35" w:rsidR="002425CD" w:rsidRDefault="002425CD" w:rsidP="008E10BF">
      <w:pPr>
        <w:spacing w:after="0" w:line="240" w:lineRule="auto"/>
        <w:jc w:val="center"/>
        <w:rPr>
          <w:szCs w:val="24"/>
        </w:rPr>
      </w:pPr>
      <w:r w:rsidRPr="002425CD">
        <w:rPr>
          <w:noProof/>
        </w:rPr>
        <w:lastRenderedPageBreak/>
        <w:drawing>
          <wp:inline distT="0" distB="0" distL="0" distR="0" wp14:anchorId="6F2942DF" wp14:editId="1CF7690A">
            <wp:extent cx="3390900" cy="2762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90900" cy="2762250"/>
                    </a:xfrm>
                    <a:prstGeom prst="rect">
                      <a:avLst/>
                    </a:prstGeom>
                  </pic:spPr>
                </pic:pic>
              </a:graphicData>
            </a:graphic>
          </wp:inline>
        </w:drawing>
      </w:r>
    </w:p>
    <w:p w14:paraId="48E27839" w14:textId="26590D33" w:rsidR="002425CD" w:rsidRDefault="002425CD" w:rsidP="008E10BF">
      <w:pPr>
        <w:spacing w:after="0" w:line="240" w:lineRule="auto"/>
        <w:jc w:val="center"/>
        <w:rPr>
          <w:szCs w:val="24"/>
        </w:rPr>
      </w:pPr>
      <w:r w:rsidRPr="002425CD">
        <w:rPr>
          <w:b/>
          <w:bCs/>
          <w:szCs w:val="24"/>
        </w:rPr>
        <w:t>Figura 2:</w:t>
      </w:r>
      <w:r w:rsidRPr="002425CD">
        <w:rPr>
          <w:szCs w:val="24"/>
        </w:rPr>
        <w:t xml:space="preserve"> Lengua saburral</w:t>
      </w:r>
      <w:r>
        <w:rPr>
          <w:szCs w:val="24"/>
        </w:rPr>
        <w:t>.</w:t>
      </w:r>
    </w:p>
    <w:p w14:paraId="0998865B" w14:textId="415C3113" w:rsidR="002425CD" w:rsidRDefault="002425CD" w:rsidP="008E10BF">
      <w:pPr>
        <w:spacing w:after="0" w:line="240" w:lineRule="auto"/>
        <w:jc w:val="center"/>
        <w:rPr>
          <w:szCs w:val="24"/>
        </w:rPr>
      </w:pPr>
    </w:p>
    <w:p w14:paraId="08D36DB0" w14:textId="369E8A22" w:rsidR="002425CD" w:rsidRDefault="002425CD" w:rsidP="008E10BF">
      <w:pPr>
        <w:spacing w:after="0" w:line="240" w:lineRule="auto"/>
        <w:jc w:val="center"/>
        <w:rPr>
          <w:szCs w:val="24"/>
        </w:rPr>
      </w:pPr>
      <w:r>
        <w:rPr>
          <w:noProof/>
        </w:rPr>
        <w:drawing>
          <wp:inline distT="0" distB="0" distL="0" distR="0" wp14:anchorId="68FB0606" wp14:editId="0122FF08">
            <wp:extent cx="3381375" cy="35147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81375" cy="3514725"/>
                    </a:xfrm>
                    <a:prstGeom prst="rect">
                      <a:avLst/>
                    </a:prstGeom>
                  </pic:spPr>
                </pic:pic>
              </a:graphicData>
            </a:graphic>
          </wp:inline>
        </w:drawing>
      </w:r>
    </w:p>
    <w:p w14:paraId="7B2604FA" w14:textId="3DF66940" w:rsidR="002425CD" w:rsidRDefault="00D87373" w:rsidP="008E10BF">
      <w:pPr>
        <w:spacing w:after="0" w:line="240" w:lineRule="auto"/>
        <w:jc w:val="center"/>
        <w:rPr>
          <w:szCs w:val="24"/>
        </w:rPr>
      </w:pPr>
      <w:r w:rsidRPr="00D87373">
        <w:rPr>
          <w:b/>
          <w:bCs/>
          <w:szCs w:val="24"/>
        </w:rPr>
        <w:t>Figura 3:</w:t>
      </w:r>
      <w:r w:rsidRPr="00D87373">
        <w:rPr>
          <w:szCs w:val="24"/>
        </w:rPr>
        <w:t xml:space="preserve"> Conjuntivitis no supurada</w:t>
      </w:r>
      <w:r>
        <w:rPr>
          <w:szCs w:val="24"/>
        </w:rPr>
        <w:t>.</w:t>
      </w:r>
    </w:p>
    <w:p w14:paraId="3130854E" w14:textId="2D76DEFF" w:rsidR="00D87373" w:rsidRDefault="00D87373" w:rsidP="008E10BF">
      <w:pPr>
        <w:spacing w:after="0" w:line="240" w:lineRule="auto"/>
        <w:jc w:val="center"/>
        <w:rPr>
          <w:szCs w:val="24"/>
        </w:rPr>
      </w:pPr>
    </w:p>
    <w:p w14:paraId="4455B86D" w14:textId="69197464" w:rsidR="00D87373" w:rsidRDefault="00D87373" w:rsidP="008E10BF">
      <w:pPr>
        <w:spacing w:after="0" w:line="240" w:lineRule="auto"/>
        <w:jc w:val="center"/>
        <w:rPr>
          <w:szCs w:val="24"/>
        </w:rPr>
      </w:pPr>
      <w:r>
        <w:rPr>
          <w:noProof/>
        </w:rPr>
        <w:lastRenderedPageBreak/>
        <w:drawing>
          <wp:inline distT="0" distB="0" distL="0" distR="0" wp14:anchorId="7074924F" wp14:editId="431DCB9F">
            <wp:extent cx="3381375" cy="29908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81375" cy="2990850"/>
                    </a:xfrm>
                    <a:prstGeom prst="rect">
                      <a:avLst/>
                    </a:prstGeom>
                  </pic:spPr>
                </pic:pic>
              </a:graphicData>
            </a:graphic>
          </wp:inline>
        </w:drawing>
      </w:r>
    </w:p>
    <w:p w14:paraId="1093142C" w14:textId="15845C9B" w:rsidR="00D87373" w:rsidRDefault="00D87373" w:rsidP="008E10BF">
      <w:pPr>
        <w:spacing w:after="0" w:line="240" w:lineRule="auto"/>
        <w:jc w:val="center"/>
        <w:rPr>
          <w:szCs w:val="24"/>
        </w:rPr>
      </w:pPr>
      <w:r w:rsidRPr="00D87373">
        <w:rPr>
          <w:b/>
          <w:bCs/>
          <w:szCs w:val="24"/>
        </w:rPr>
        <w:t>Figura 4:</w:t>
      </w:r>
      <w:r w:rsidRPr="00D87373">
        <w:rPr>
          <w:szCs w:val="24"/>
        </w:rPr>
        <w:t xml:space="preserve"> Derrame conjuntival.</w:t>
      </w:r>
    </w:p>
    <w:p w14:paraId="391368C1" w14:textId="77777777" w:rsidR="002425CD" w:rsidRPr="003077DD" w:rsidRDefault="002425CD" w:rsidP="008E10BF">
      <w:pPr>
        <w:spacing w:after="0" w:line="240" w:lineRule="auto"/>
        <w:jc w:val="center"/>
        <w:rPr>
          <w:szCs w:val="24"/>
        </w:rPr>
      </w:pPr>
    </w:p>
    <w:p w14:paraId="1E696645" w14:textId="77777777" w:rsidR="00036EF0" w:rsidRPr="003077DD" w:rsidRDefault="008E10BF" w:rsidP="008E10BF">
      <w:pPr>
        <w:spacing w:after="0" w:line="240" w:lineRule="auto"/>
        <w:rPr>
          <w:szCs w:val="24"/>
        </w:rPr>
      </w:pPr>
      <w:r w:rsidRPr="003077DD">
        <w:rPr>
          <w:szCs w:val="24"/>
        </w:rPr>
        <w:t xml:space="preserve">El MIS-C generalmente se presenta con una mayor elevación de marcadores inflamatorios en comparación con la enfermedad de Kawasaki, mayores niveles de PCR, ferritina, citoquinas inflamatorias y péptido natriurético tipo pro </w:t>
      </w:r>
      <w:r w:rsidRPr="003077DD">
        <w:rPr>
          <w:szCs w:val="24"/>
        </w:rPr>
        <w:t>BN-terminal (NT-</w:t>
      </w:r>
      <w:proofErr w:type="spellStart"/>
      <w:r w:rsidRPr="003077DD">
        <w:rPr>
          <w:szCs w:val="24"/>
        </w:rPr>
        <w:t>proBNP</w:t>
      </w:r>
      <w:proofErr w:type="spellEnd"/>
      <w:r w:rsidRPr="003077DD">
        <w:rPr>
          <w:szCs w:val="24"/>
        </w:rPr>
        <w:t xml:space="preserve">), mayor frecuencia de </w:t>
      </w:r>
      <w:proofErr w:type="spellStart"/>
      <w:r w:rsidRPr="003077DD">
        <w:rPr>
          <w:szCs w:val="24"/>
        </w:rPr>
        <w:t>linfopenia</w:t>
      </w:r>
      <w:proofErr w:type="spellEnd"/>
      <w:r w:rsidRPr="003077DD">
        <w:rPr>
          <w:szCs w:val="24"/>
        </w:rPr>
        <w:t xml:space="preserve"> y trombocitopenia, sin diferencias en los niveles de d</w:t>
      </w:r>
      <w:r w:rsidRPr="003077DD">
        <w:rPr>
          <w:szCs w:val="24"/>
          <w:lang w:bidi="ar-YE"/>
        </w:rPr>
        <w:t>í</w:t>
      </w:r>
      <w:r w:rsidRPr="003077DD">
        <w:rPr>
          <w:szCs w:val="24"/>
        </w:rPr>
        <w:t>meros D</w:t>
      </w:r>
      <w:r w:rsidRPr="003077DD">
        <w:rPr>
          <w:szCs w:val="24"/>
          <w:vertAlign w:val="superscript"/>
        </w:rPr>
        <w:t>(1)</w:t>
      </w:r>
      <w:r w:rsidRPr="003077DD">
        <w:rPr>
          <w:szCs w:val="24"/>
        </w:rPr>
        <w:t>.</w:t>
      </w:r>
    </w:p>
    <w:p w14:paraId="4C852667" w14:textId="77777777" w:rsidR="00036EF0" w:rsidRPr="003077DD" w:rsidRDefault="008E10BF" w:rsidP="008E10BF">
      <w:pPr>
        <w:spacing w:after="0" w:line="240" w:lineRule="auto"/>
        <w:rPr>
          <w:szCs w:val="24"/>
        </w:rPr>
      </w:pPr>
      <w:r w:rsidRPr="003077DD">
        <w:rPr>
          <w:szCs w:val="24"/>
        </w:rPr>
        <w:t xml:space="preserve">Se estudió la serología anti </w:t>
      </w:r>
      <w:proofErr w:type="spellStart"/>
      <w:r w:rsidRPr="003077DD">
        <w:rPr>
          <w:i/>
          <w:iCs/>
          <w:szCs w:val="24"/>
        </w:rPr>
        <w:t>spike</w:t>
      </w:r>
      <w:proofErr w:type="spellEnd"/>
      <w:r w:rsidRPr="003077DD">
        <w:rPr>
          <w:szCs w:val="24"/>
        </w:rPr>
        <w:t xml:space="preserve"> con anticuerpos </w:t>
      </w:r>
      <w:proofErr w:type="spellStart"/>
      <w:r w:rsidRPr="003077DD">
        <w:rPr>
          <w:szCs w:val="24"/>
        </w:rPr>
        <w:t>AcS</w:t>
      </w:r>
      <w:proofErr w:type="spellEnd"/>
      <w:r w:rsidRPr="003077DD">
        <w:rPr>
          <w:szCs w:val="24"/>
        </w:rPr>
        <w:t>: IgG positivo e IgM negativo, estudio cualitativo de anticuerpos específicos c</w:t>
      </w:r>
      <w:r w:rsidRPr="003077DD">
        <w:rPr>
          <w:szCs w:val="24"/>
        </w:rPr>
        <w:t>ontra el subdominio RBD de la subunidad S1 de la proteína S (</w:t>
      </w:r>
      <w:proofErr w:type="spellStart"/>
      <w:r w:rsidRPr="003077DD">
        <w:rPr>
          <w:i/>
          <w:iCs/>
          <w:szCs w:val="24"/>
        </w:rPr>
        <w:t>spike</w:t>
      </w:r>
      <w:proofErr w:type="spellEnd"/>
      <w:r w:rsidRPr="003077DD">
        <w:rPr>
          <w:szCs w:val="24"/>
        </w:rPr>
        <w:t>) del SARS-CoV-2.</w:t>
      </w:r>
    </w:p>
    <w:p w14:paraId="2B1F263F" w14:textId="77777777" w:rsidR="00036EF0" w:rsidRPr="003077DD" w:rsidRDefault="008E10BF" w:rsidP="008E10BF">
      <w:pPr>
        <w:spacing w:after="0" w:line="240" w:lineRule="auto"/>
        <w:rPr>
          <w:szCs w:val="24"/>
        </w:rPr>
      </w:pPr>
      <w:r w:rsidRPr="003077DD">
        <w:rPr>
          <w:szCs w:val="24"/>
        </w:rPr>
        <w:t xml:space="preserve">El objetivo de nuestro trabajo es describir el caso clínico de un paciente que presentó un síndrome inflamatorio multisistémico con anticuerpos anti </w:t>
      </w:r>
      <w:proofErr w:type="spellStart"/>
      <w:r w:rsidRPr="003077DD">
        <w:rPr>
          <w:szCs w:val="24"/>
        </w:rPr>
        <w:t>spike</w:t>
      </w:r>
      <w:proofErr w:type="spellEnd"/>
      <w:r w:rsidRPr="003077DD">
        <w:rPr>
          <w:szCs w:val="24"/>
        </w:rPr>
        <w:t xml:space="preserve"> </w:t>
      </w:r>
      <w:proofErr w:type="spellStart"/>
      <w:r w:rsidRPr="003077DD">
        <w:rPr>
          <w:szCs w:val="24"/>
        </w:rPr>
        <w:t>IgG</w:t>
      </w:r>
      <w:proofErr w:type="spellEnd"/>
      <w:r w:rsidRPr="003077DD">
        <w:rPr>
          <w:szCs w:val="24"/>
        </w:rPr>
        <w:t xml:space="preserve"> positivos y d</w:t>
      </w:r>
      <w:r w:rsidRPr="003077DD">
        <w:rPr>
          <w:szCs w:val="24"/>
        </w:rPr>
        <w:t>efinir si la clínica y la serológica del paciente se explicaban por haber cursado la enfermedad o por ESAVI.</w:t>
      </w:r>
    </w:p>
    <w:p w14:paraId="4EEDFF18" w14:textId="77777777" w:rsidR="002425CD" w:rsidRDefault="002425CD" w:rsidP="008E10BF">
      <w:pPr>
        <w:spacing w:after="0" w:line="240" w:lineRule="auto"/>
        <w:jc w:val="center"/>
        <w:rPr>
          <w:b/>
          <w:sz w:val="32"/>
        </w:rPr>
      </w:pPr>
    </w:p>
    <w:p w14:paraId="5221C9DC" w14:textId="77777777" w:rsidR="002425CD" w:rsidRDefault="002425CD" w:rsidP="008E10BF">
      <w:pPr>
        <w:spacing w:after="0" w:line="240" w:lineRule="auto"/>
        <w:jc w:val="center"/>
        <w:rPr>
          <w:b/>
          <w:sz w:val="32"/>
        </w:rPr>
      </w:pPr>
    </w:p>
    <w:p w14:paraId="650AF6C8" w14:textId="7549D9E8" w:rsidR="00036EF0" w:rsidRDefault="008E10BF" w:rsidP="008E10BF">
      <w:pPr>
        <w:spacing w:after="0" w:line="240" w:lineRule="auto"/>
        <w:jc w:val="center"/>
        <w:rPr>
          <w:b/>
          <w:sz w:val="32"/>
        </w:rPr>
      </w:pPr>
      <w:r w:rsidRPr="002425CD">
        <w:rPr>
          <w:b/>
          <w:sz w:val="32"/>
        </w:rPr>
        <w:t>Observación clínica</w:t>
      </w:r>
    </w:p>
    <w:p w14:paraId="2D398315" w14:textId="12668264" w:rsidR="002425CD" w:rsidRDefault="002425CD" w:rsidP="008E10BF">
      <w:pPr>
        <w:spacing w:after="0" w:line="240" w:lineRule="auto"/>
        <w:jc w:val="center"/>
        <w:rPr>
          <w:b/>
          <w:sz w:val="32"/>
        </w:rPr>
      </w:pPr>
    </w:p>
    <w:p w14:paraId="01A4EDEE" w14:textId="77777777" w:rsidR="002425CD" w:rsidRPr="002425CD" w:rsidRDefault="002425CD" w:rsidP="008E10BF">
      <w:pPr>
        <w:spacing w:after="0" w:line="240" w:lineRule="auto"/>
        <w:jc w:val="center"/>
        <w:rPr>
          <w:b/>
          <w:sz w:val="32"/>
        </w:rPr>
      </w:pPr>
    </w:p>
    <w:p w14:paraId="70AA43D3" w14:textId="77777777" w:rsidR="00036EF0" w:rsidRPr="003077DD" w:rsidRDefault="008E10BF" w:rsidP="008E10BF">
      <w:pPr>
        <w:spacing w:after="0" w:line="240" w:lineRule="auto"/>
        <w:rPr>
          <w:spacing w:val="4"/>
          <w:szCs w:val="24"/>
        </w:rPr>
      </w:pPr>
      <w:r w:rsidRPr="003077DD">
        <w:rPr>
          <w:spacing w:val="4"/>
          <w:szCs w:val="24"/>
        </w:rPr>
        <w:t xml:space="preserve">Se administró inmunoglobulina intravenosa a una dosis de 2 g/kg, </w:t>
      </w:r>
      <w:r w:rsidRPr="003077DD">
        <w:rPr>
          <w:spacing w:val="4"/>
          <w:szCs w:val="24"/>
          <w:lang w:bidi="ar-YE"/>
        </w:rPr>
        <w:t>ácido</w:t>
      </w:r>
      <w:r w:rsidRPr="003077DD">
        <w:rPr>
          <w:spacing w:val="4"/>
          <w:szCs w:val="24"/>
          <w:rtl/>
          <w:lang w:bidi="ar-YE"/>
        </w:rPr>
        <w:t xml:space="preserve"> </w:t>
      </w:r>
      <w:r w:rsidRPr="003077DD">
        <w:rPr>
          <w:spacing w:val="4"/>
          <w:szCs w:val="24"/>
        </w:rPr>
        <w:t xml:space="preserve">acetilsalicílico 5 mg/kg/día y metilprednisolona 1 mg/kg/día por 3 días, pantoprazol y medias de compresión </w:t>
      </w:r>
      <w:proofErr w:type="gramStart"/>
      <w:r w:rsidRPr="003077DD">
        <w:rPr>
          <w:spacing w:val="4"/>
          <w:szCs w:val="24"/>
        </w:rPr>
        <w:t>neum</w:t>
      </w:r>
      <w:r w:rsidRPr="003077DD">
        <w:rPr>
          <w:spacing w:val="4"/>
          <w:szCs w:val="24"/>
          <w:lang w:bidi="ar-YE"/>
        </w:rPr>
        <w:t>á</w:t>
      </w:r>
      <w:r w:rsidRPr="003077DD">
        <w:rPr>
          <w:spacing w:val="4"/>
          <w:szCs w:val="24"/>
        </w:rPr>
        <w:t>tica</w:t>
      </w:r>
      <w:r w:rsidRPr="003077DD">
        <w:rPr>
          <w:spacing w:val="4"/>
          <w:szCs w:val="24"/>
          <w:vertAlign w:val="superscript"/>
        </w:rPr>
        <w:t>(</w:t>
      </w:r>
      <w:proofErr w:type="gramEnd"/>
      <w:r w:rsidRPr="003077DD">
        <w:rPr>
          <w:spacing w:val="4"/>
          <w:szCs w:val="24"/>
          <w:vertAlign w:val="superscript"/>
        </w:rPr>
        <w:t>1-3)</w:t>
      </w:r>
      <w:r w:rsidRPr="003077DD">
        <w:rPr>
          <w:spacing w:val="4"/>
          <w:szCs w:val="24"/>
        </w:rPr>
        <w:t>. A las 24 h el paciente estaba en apirexia, sin dolor abdominal, con disminución de la conjuntivitis y de las lesiones de piel, reins</w:t>
      </w:r>
      <w:r w:rsidRPr="003077DD">
        <w:rPr>
          <w:spacing w:val="4"/>
          <w:szCs w:val="24"/>
        </w:rPr>
        <w:t xml:space="preserve">talando fiebre que en ese momento completaba 10 días, vómitos y decaimiento. Los parámetros inflamatorios persistían elevados. Por persistencia de la fiebre </w:t>
      </w:r>
      <w:r w:rsidRPr="003077DD">
        <w:rPr>
          <w:spacing w:val="4"/>
          <w:szCs w:val="24"/>
        </w:rPr>
        <w:lastRenderedPageBreak/>
        <w:t xml:space="preserve">se administró una segunda dosis de </w:t>
      </w:r>
      <w:proofErr w:type="gramStart"/>
      <w:r w:rsidRPr="003077DD">
        <w:rPr>
          <w:spacing w:val="4"/>
          <w:szCs w:val="24"/>
        </w:rPr>
        <w:t>inmunoglobulina</w:t>
      </w:r>
      <w:r w:rsidRPr="003077DD">
        <w:rPr>
          <w:spacing w:val="4"/>
          <w:szCs w:val="24"/>
          <w:vertAlign w:val="superscript"/>
        </w:rPr>
        <w:t>(</w:t>
      </w:r>
      <w:proofErr w:type="gramEnd"/>
      <w:r w:rsidRPr="003077DD">
        <w:rPr>
          <w:spacing w:val="4"/>
          <w:szCs w:val="24"/>
          <w:vertAlign w:val="superscript"/>
        </w:rPr>
        <w:t>3)</w:t>
      </w:r>
      <w:r w:rsidRPr="003077DD">
        <w:rPr>
          <w:spacing w:val="4"/>
          <w:szCs w:val="24"/>
        </w:rPr>
        <w:t>. El paciente se mantuvo asintomático con hemo</w:t>
      </w:r>
      <w:r w:rsidRPr="003077DD">
        <w:rPr>
          <w:spacing w:val="4"/>
          <w:szCs w:val="24"/>
        </w:rPr>
        <w:t>dinamia estable y completó 4 días en apirexia, agregando una descamación de piel leve en extremidades. Se otorgó alta, reingresando a las 24 h por fiebre y n</w:t>
      </w:r>
      <w:r w:rsidRPr="003077DD">
        <w:rPr>
          <w:spacing w:val="4"/>
          <w:szCs w:val="24"/>
          <w:lang w:bidi="ar-YE"/>
        </w:rPr>
        <w:t>á</w:t>
      </w:r>
      <w:r w:rsidRPr="003077DD">
        <w:rPr>
          <w:spacing w:val="4"/>
          <w:szCs w:val="24"/>
        </w:rPr>
        <w:t>useas. Se constató en ese momento descenso de parámetros inflamatorios y una alteración leve de la</w:t>
      </w:r>
      <w:r w:rsidRPr="003077DD">
        <w:rPr>
          <w:spacing w:val="4"/>
          <w:szCs w:val="24"/>
        </w:rPr>
        <w:t xml:space="preserve"> función hepática. Se reinició prednisolona a mayor dosis por 3 días y </w:t>
      </w:r>
      <w:r w:rsidRPr="003077DD">
        <w:rPr>
          <w:spacing w:val="4"/>
          <w:szCs w:val="24"/>
          <w:lang w:bidi="ar-YE"/>
        </w:rPr>
        <w:t>ácido</w:t>
      </w:r>
      <w:r w:rsidRPr="003077DD">
        <w:rPr>
          <w:spacing w:val="4"/>
          <w:szCs w:val="24"/>
          <w:rtl/>
          <w:lang w:bidi="ar-YE"/>
        </w:rPr>
        <w:t xml:space="preserve"> </w:t>
      </w:r>
      <w:r w:rsidRPr="003077DD">
        <w:rPr>
          <w:spacing w:val="4"/>
          <w:szCs w:val="24"/>
        </w:rPr>
        <w:t>acetilsalicílico, completando 3 semanas con prednisona. A los 5 días de apirexia, se otorgó alta a domicilio.</w:t>
      </w:r>
    </w:p>
    <w:p w14:paraId="4EF8E871" w14:textId="77777777" w:rsidR="00036EF0" w:rsidRPr="003077DD" w:rsidRDefault="008E10BF" w:rsidP="008E10BF">
      <w:pPr>
        <w:spacing w:after="0" w:line="240" w:lineRule="auto"/>
        <w:rPr>
          <w:szCs w:val="24"/>
        </w:rPr>
      </w:pPr>
      <w:r w:rsidRPr="003077DD">
        <w:rPr>
          <w:szCs w:val="24"/>
        </w:rPr>
        <w:t>Se solicitó anticuerpos IgM/IgG anti antígeno de proteína N del SARS–</w:t>
      </w:r>
      <w:r w:rsidRPr="003077DD">
        <w:rPr>
          <w:szCs w:val="24"/>
        </w:rPr>
        <w:t xml:space="preserve">CoV-2 que fueron positivos por </w:t>
      </w:r>
      <w:proofErr w:type="spellStart"/>
      <w:r w:rsidRPr="003077DD">
        <w:rPr>
          <w:szCs w:val="24"/>
        </w:rPr>
        <w:t>inmunocromatograf</w:t>
      </w:r>
      <w:r w:rsidRPr="003077DD">
        <w:rPr>
          <w:szCs w:val="24"/>
          <w:lang w:bidi="ar-YE"/>
        </w:rPr>
        <w:t>í</w:t>
      </w:r>
      <w:r w:rsidRPr="003077DD">
        <w:rPr>
          <w:szCs w:val="24"/>
        </w:rPr>
        <w:t>a</w:t>
      </w:r>
      <w:proofErr w:type="spellEnd"/>
      <w:r w:rsidRPr="003077DD">
        <w:rPr>
          <w:szCs w:val="24"/>
        </w:rPr>
        <w:t xml:space="preserve"> (</w:t>
      </w:r>
      <w:proofErr w:type="spellStart"/>
      <w:r w:rsidRPr="003077DD">
        <w:rPr>
          <w:szCs w:val="24"/>
        </w:rPr>
        <w:t>Biohit</w:t>
      </w:r>
      <w:proofErr w:type="spellEnd"/>
      <w:r w:rsidRPr="003077DD">
        <w:rPr>
          <w:szCs w:val="24"/>
          <w:rtl/>
          <w:lang w:bidi="ar-YE"/>
        </w:rPr>
        <w:t>®)</w:t>
      </w:r>
      <w:r w:rsidRPr="003077DD">
        <w:rPr>
          <w:szCs w:val="24"/>
        </w:rPr>
        <w:t>.</w:t>
      </w:r>
    </w:p>
    <w:p w14:paraId="3DFA1B61" w14:textId="77777777" w:rsidR="00036EF0" w:rsidRPr="003077DD" w:rsidRDefault="008E10BF" w:rsidP="008E10BF">
      <w:pPr>
        <w:spacing w:after="0" w:line="240" w:lineRule="auto"/>
        <w:rPr>
          <w:szCs w:val="24"/>
        </w:rPr>
      </w:pPr>
      <w:r w:rsidRPr="003077DD">
        <w:rPr>
          <w:szCs w:val="24"/>
        </w:rPr>
        <w:t>Se realizó el estudio cuantitativo de anticuerpos anti S en forma retrospectiva, con muestra de sangre en el momento del debut 3.800 BAU/ml y al mes 1.270 BAU/ml, en laboratorio de referencia de</w:t>
      </w:r>
      <w:r w:rsidRPr="003077DD">
        <w:rPr>
          <w:szCs w:val="24"/>
        </w:rPr>
        <w:t>l Ministerio de Salud</w:t>
      </w:r>
      <w:r w:rsidRPr="003077DD">
        <w:rPr>
          <w:szCs w:val="24"/>
          <w:rtl/>
          <w:lang w:bidi="ar-YE"/>
        </w:rPr>
        <w:t xml:space="preserve"> </w:t>
      </w:r>
      <w:r w:rsidRPr="003077DD">
        <w:rPr>
          <w:szCs w:val="24"/>
          <w:lang w:bidi="ar-YE"/>
        </w:rPr>
        <w:t>Pública</w:t>
      </w:r>
      <w:r w:rsidRPr="003077DD">
        <w:rPr>
          <w:szCs w:val="24"/>
        </w:rPr>
        <w:t>.</w:t>
      </w:r>
    </w:p>
    <w:p w14:paraId="3EF93A65" w14:textId="77777777" w:rsidR="00036EF0" w:rsidRPr="003077DD" w:rsidRDefault="008E10BF" w:rsidP="008E10BF">
      <w:pPr>
        <w:spacing w:after="0" w:line="240" w:lineRule="auto"/>
        <w:rPr>
          <w:szCs w:val="24"/>
        </w:rPr>
      </w:pPr>
      <w:r w:rsidRPr="003077DD">
        <w:rPr>
          <w:szCs w:val="24"/>
        </w:rPr>
        <w:t>El paciente recibió la segunda dosis de vacuna a los 90 días, sin sintomatología.</w:t>
      </w:r>
    </w:p>
    <w:p w14:paraId="08BFF59B" w14:textId="77777777" w:rsidR="002425CD" w:rsidRDefault="002425CD" w:rsidP="008E10BF">
      <w:pPr>
        <w:spacing w:after="0" w:line="240" w:lineRule="auto"/>
        <w:jc w:val="center"/>
        <w:rPr>
          <w:b/>
          <w:sz w:val="32"/>
        </w:rPr>
      </w:pPr>
    </w:p>
    <w:p w14:paraId="31109352" w14:textId="77777777" w:rsidR="002425CD" w:rsidRDefault="002425CD" w:rsidP="008E10BF">
      <w:pPr>
        <w:spacing w:after="0" w:line="240" w:lineRule="auto"/>
        <w:jc w:val="center"/>
        <w:rPr>
          <w:b/>
          <w:sz w:val="32"/>
        </w:rPr>
      </w:pPr>
    </w:p>
    <w:p w14:paraId="7A420C94" w14:textId="63F08EBF" w:rsidR="00036EF0" w:rsidRDefault="008E10BF" w:rsidP="008E10BF">
      <w:pPr>
        <w:spacing w:after="0" w:line="240" w:lineRule="auto"/>
        <w:jc w:val="center"/>
        <w:rPr>
          <w:b/>
          <w:sz w:val="32"/>
        </w:rPr>
      </w:pPr>
      <w:r w:rsidRPr="002425CD">
        <w:rPr>
          <w:b/>
          <w:sz w:val="32"/>
        </w:rPr>
        <w:t>Discusión</w:t>
      </w:r>
    </w:p>
    <w:p w14:paraId="1EA12D0D" w14:textId="284A0246" w:rsidR="002425CD" w:rsidRDefault="002425CD" w:rsidP="008E10BF">
      <w:pPr>
        <w:spacing w:after="0" w:line="240" w:lineRule="auto"/>
        <w:jc w:val="center"/>
        <w:rPr>
          <w:b/>
          <w:sz w:val="32"/>
        </w:rPr>
      </w:pPr>
    </w:p>
    <w:p w14:paraId="3A45F3E6" w14:textId="77777777" w:rsidR="002425CD" w:rsidRPr="002425CD" w:rsidRDefault="002425CD" w:rsidP="008E10BF">
      <w:pPr>
        <w:spacing w:after="0" w:line="240" w:lineRule="auto"/>
        <w:jc w:val="center"/>
        <w:rPr>
          <w:b/>
          <w:sz w:val="32"/>
        </w:rPr>
      </w:pPr>
    </w:p>
    <w:p w14:paraId="52E98C71" w14:textId="77777777" w:rsidR="00036EF0" w:rsidRPr="003077DD" w:rsidRDefault="008E10BF" w:rsidP="008E10BF">
      <w:pPr>
        <w:spacing w:after="0" w:line="240" w:lineRule="auto"/>
        <w:rPr>
          <w:szCs w:val="24"/>
        </w:rPr>
      </w:pPr>
      <w:r w:rsidRPr="003077DD">
        <w:rPr>
          <w:szCs w:val="24"/>
        </w:rPr>
        <w:t>Se realizó diagnóstico de SARS–CoV-2 por nexo epidemiológico.</w:t>
      </w:r>
    </w:p>
    <w:p w14:paraId="64BD9C7F" w14:textId="77777777" w:rsidR="00036EF0" w:rsidRPr="003077DD" w:rsidRDefault="008E10BF" w:rsidP="008E10BF">
      <w:pPr>
        <w:spacing w:after="0" w:line="240" w:lineRule="auto"/>
        <w:rPr>
          <w:szCs w:val="24"/>
        </w:rPr>
      </w:pPr>
      <w:r w:rsidRPr="003077DD">
        <w:rPr>
          <w:szCs w:val="24"/>
        </w:rPr>
        <w:t>De acuerdo a los criterios definidos por la OMS para MIS-C, el paciente presentaba más de 3 días de fiebre, exantema, conjuntivitis bilateral no supurada, elevación de dímeros D mayor a 1.000 ng/ml en dos oportunidades, afectación gastrointestinal, aumento</w:t>
      </w:r>
      <w:r w:rsidRPr="003077DD">
        <w:rPr>
          <w:szCs w:val="24"/>
        </w:rPr>
        <w:t xml:space="preserve"> de PCR mayor a 50 mg/l y evidencia epidemiológica de infección por COVID-19, además de la exclusión de otras causas </w:t>
      </w:r>
      <w:proofErr w:type="gramStart"/>
      <w:r w:rsidRPr="003077DD">
        <w:rPr>
          <w:szCs w:val="24"/>
        </w:rPr>
        <w:t>infecciosas</w:t>
      </w:r>
      <w:r w:rsidRPr="003077DD">
        <w:rPr>
          <w:szCs w:val="24"/>
          <w:vertAlign w:val="superscript"/>
        </w:rPr>
        <w:t>(</w:t>
      </w:r>
      <w:proofErr w:type="gramEnd"/>
      <w:r w:rsidRPr="003077DD">
        <w:rPr>
          <w:szCs w:val="24"/>
          <w:vertAlign w:val="superscript"/>
        </w:rPr>
        <w:t>1-4)</w:t>
      </w:r>
      <w:r w:rsidRPr="003077DD">
        <w:rPr>
          <w:szCs w:val="24"/>
        </w:rPr>
        <w:t>.</w:t>
      </w:r>
    </w:p>
    <w:p w14:paraId="59299EFC" w14:textId="77777777" w:rsidR="00036EF0" w:rsidRPr="003077DD" w:rsidRDefault="008E10BF" w:rsidP="008E10BF">
      <w:pPr>
        <w:spacing w:after="0" w:line="240" w:lineRule="auto"/>
        <w:rPr>
          <w:szCs w:val="24"/>
        </w:rPr>
      </w:pPr>
      <w:r w:rsidRPr="003077DD">
        <w:rPr>
          <w:szCs w:val="24"/>
        </w:rPr>
        <w:t xml:space="preserve">Nos encontrábamos ante la incógnita de la etiología del cuadro del paciente, con anticuerpos anti </w:t>
      </w:r>
      <w:proofErr w:type="spellStart"/>
      <w:r w:rsidRPr="003077DD">
        <w:rPr>
          <w:i/>
          <w:iCs/>
          <w:szCs w:val="24"/>
        </w:rPr>
        <w:t>spike</w:t>
      </w:r>
      <w:proofErr w:type="spellEnd"/>
      <w:r w:rsidRPr="003077DD">
        <w:rPr>
          <w:szCs w:val="24"/>
        </w:rPr>
        <w:t xml:space="preserve"> positivos en form</w:t>
      </w:r>
      <w:r w:rsidRPr="003077DD">
        <w:rPr>
          <w:szCs w:val="24"/>
        </w:rPr>
        <w:t xml:space="preserve">a cualitativa al inicio que no permitían descartar ESAVI, dado que los mismos anticuerpos son generados por la vacuna Pfizer. Las vacunas actualmente autorizadas y casi todas las candidatas en estadio clínico tardío contienen la proteína </w:t>
      </w:r>
      <w:proofErr w:type="spellStart"/>
      <w:r w:rsidRPr="003077DD">
        <w:rPr>
          <w:i/>
          <w:iCs/>
          <w:szCs w:val="24"/>
        </w:rPr>
        <w:t>spike</w:t>
      </w:r>
      <w:proofErr w:type="spellEnd"/>
      <w:r w:rsidRPr="003077DD">
        <w:rPr>
          <w:szCs w:val="24"/>
        </w:rPr>
        <w:t xml:space="preserve"> del SARS-CoV</w:t>
      </w:r>
      <w:r w:rsidRPr="003077DD">
        <w:rPr>
          <w:szCs w:val="24"/>
        </w:rPr>
        <w:t xml:space="preserve">-2 de longitud completa como antígeno, por lo que se dirigen a los epítopos fuera del </w:t>
      </w:r>
      <w:proofErr w:type="gramStart"/>
      <w:r w:rsidRPr="003077DD">
        <w:rPr>
          <w:szCs w:val="24"/>
        </w:rPr>
        <w:t>RBD</w:t>
      </w:r>
      <w:r w:rsidRPr="003077DD">
        <w:rPr>
          <w:szCs w:val="24"/>
          <w:vertAlign w:val="superscript"/>
        </w:rPr>
        <w:t>(</w:t>
      </w:r>
      <w:proofErr w:type="gramEnd"/>
      <w:r w:rsidRPr="003077DD">
        <w:rPr>
          <w:szCs w:val="24"/>
          <w:vertAlign w:val="superscript"/>
        </w:rPr>
        <w:t>5)</w:t>
      </w:r>
      <w:r w:rsidRPr="003077DD">
        <w:rPr>
          <w:szCs w:val="24"/>
        </w:rPr>
        <w:t>, se realizó la búsqueda de otros anticuerpos no generados por la vacuna, como los anticuerpos anti antígeno de proteína N que fueron positivos, de esta forma pudim</w:t>
      </w:r>
      <w:r w:rsidRPr="003077DD">
        <w:rPr>
          <w:szCs w:val="24"/>
        </w:rPr>
        <w:t xml:space="preserve">os confirmar la etiología post COVID-19, descartando ESAVI. Demostrando posteriormente con el estudio cuantitativo la disminución de los anticuerpos anti </w:t>
      </w:r>
      <w:proofErr w:type="spellStart"/>
      <w:r w:rsidRPr="003077DD">
        <w:rPr>
          <w:i/>
          <w:iCs/>
          <w:szCs w:val="24"/>
        </w:rPr>
        <w:t>spike</w:t>
      </w:r>
      <w:proofErr w:type="spellEnd"/>
      <w:r w:rsidRPr="003077DD">
        <w:rPr>
          <w:szCs w:val="24"/>
        </w:rPr>
        <w:t xml:space="preserve"> al mes del debut del síndrome inflamatorio multisistémico post COVID-19, en forma retrospectiva,</w:t>
      </w:r>
      <w:r w:rsidRPr="003077DD">
        <w:rPr>
          <w:szCs w:val="24"/>
        </w:rPr>
        <w:t xml:space="preserve"> con muestra de sangre del momento del debut y al mes.</w:t>
      </w:r>
    </w:p>
    <w:p w14:paraId="2CC50423" w14:textId="77777777" w:rsidR="00036EF0" w:rsidRPr="003077DD" w:rsidRDefault="008E10BF" w:rsidP="008E10BF">
      <w:pPr>
        <w:spacing w:after="0" w:line="240" w:lineRule="auto"/>
        <w:rPr>
          <w:szCs w:val="24"/>
        </w:rPr>
      </w:pPr>
      <w:r w:rsidRPr="003077DD">
        <w:rPr>
          <w:szCs w:val="24"/>
        </w:rPr>
        <w:lastRenderedPageBreak/>
        <w:t>El paciente recibió la segunda dosis de vacuna Pfizer a los 90 días de su enfermedad, permaneciendo sin sintomatología.</w:t>
      </w:r>
    </w:p>
    <w:p w14:paraId="648E64B8" w14:textId="77777777" w:rsidR="002425CD" w:rsidRDefault="002425CD" w:rsidP="008E10BF">
      <w:pPr>
        <w:spacing w:after="0" w:line="240" w:lineRule="auto"/>
        <w:rPr>
          <w:b/>
          <w:bCs/>
          <w:szCs w:val="24"/>
        </w:rPr>
      </w:pPr>
    </w:p>
    <w:p w14:paraId="1D3C7D59" w14:textId="5383061D" w:rsidR="00036EF0" w:rsidRPr="002425CD" w:rsidRDefault="002425CD" w:rsidP="008E10BF">
      <w:pPr>
        <w:spacing w:after="0" w:line="240" w:lineRule="auto"/>
        <w:jc w:val="left"/>
        <w:rPr>
          <w:b/>
          <w:bCs/>
          <w:szCs w:val="24"/>
        </w:rPr>
      </w:pPr>
      <w:r w:rsidRPr="002425CD">
        <w:rPr>
          <w:b/>
          <w:bCs/>
          <w:szCs w:val="24"/>
        </w:rPr>
        <w:t>Bibliografía:</w:t>
      </w:r>
    </w:p>
    <w:p w14:paraId="34A16F83" w14:textId="53D5F63D" w:rsidR="00036EF0" w:rsidRPr="003077DD" w:rsidRDefault="008E10BF" w:rsidP="008E10BF">
      <w:pPr>
        <w:spacing w:after="0" w:line="240" w:lineRule="auto"/>
        <w:jc w:val="left"/>
        <w:rPr>
          <w:color w:val="212121"/>
          <w:szCs w:val="24"/>
        </w:rPr>
      </w:pPr>
      <w:r>
        <w:rPr>
          <w:color w:val="212121"/>
          <w:szCs w:val="24"/>
        </w:rPr>
        <w:t xml:space="preserve">1. </w:t>
      </w:r>
      <w:r w:rsidRPr="003077DD">
        <w:rPr>
          <w:color w:val="212121"/>
          <w:szCs w:val="24"/>
        </w:rPr>
        <w:t xml:space="preserve">García A, Antón J, Martínez J, Giralt G, Gómez B, </w:t>
      </w:r>
      <w:proofErr w:type="spellStart"/>
      <w:r w:rsidRPr="003077DD">
        <w:rPr>
          <w:color w:val="212121"/>
          <w:szCs w:val="24"/>
        </w:rPr>
        <w:t>Tagarro</w:t>
      </w:r>
      <w:proofErr w:type="spellEnd"/>
      <w:r w:rsidRPr="003077DD">
        <w:rPr>
          <w:color w:val="212121"/>
          <w:szCs w:val="24"/>
        </w:rPr>
        <w:t xml:space="preserve"> A. Documento español de consenso sobre diagnóstico, estabilización y tratamiento del síndrome inflamatorio multisistémico pediátrico vinculado a SARS-CoV-2 (SIM-</w:t>
      </w:r>
      <w:proofErr w:type="spellStart"/>
      <w:r w:rsidRPr="003077DD">
        <w:rPr>
          <w:color w:val="212121"/>
          <w:szCs w:val="24"/>
        </w:rPr>
        <w:t>PedS</w:t>
      </w:r>
      <w:proofErr w:type="spellEnd"/>
      <w:r w:rsidRPr="003077DD">
        <w:rPr>
          <w:color w:val="212121"/>
          <w:szCs w:val="24"/>
        </w:rPr>
        <w:t xml:space="preserve">. </w:t>
      </w:r>
      <w:proofErr w:type="spellStart"/>
      <w:r w:rsidRPr="003077DD">
        <w:rPr>
          <w:color w:val="212121"/>
          <w:szCs w:val="24"/>
        </w:rPr>
        <w:t>An</w:t>
      </w:r>
      <w:proofErr w:type="spellEnd"/>
      <w:r w:rsidRPr="003077DD">
        <w:rPr>
          <w:color w:val="212121"/>
          <w:szCs w:val="24"/>
        </w:rPr>
        <w:t xml:space="preserve"> </w:t>
      </w:r>
      <w:proofErr w:type="spellStart"/>
      <w:r w:rsidRPr="003077DD">
        <w:rPr>
          <w:color w:val="212121"/>
          <w:szCs w:val="24"/>
        </w:rPr>
        <w:t>Pediatr</w:t>
      </w:r>
      <w:proofErr w:type="spellEnd"/>
      <w:r w:rsidRPr="003077DD">
        <w:rPr>
          <w:color w:val="212121"/>
          <w:szCs w:val="24"/>
        </w:rPr>
        <w:t xml:space="preserve"> 2021; 94(2):116.e1-116.e11.</w:t>
      </w:r>
    </w:p>
    <w:p w14:paraId="303FC690" w14:textId="0A2EF41B" w:rsidR="00036EF0" w:rsidRPr="003077DD" w:rsidRDefault="008E10BF" w:rsidP="008E10BF">
      <w:pPr>
        <w:spacing w:after="0" w:line="240" w:lineRule="auto"/>
        <w:jc w:val="left"/>
        <w:rPr>
          <w:color w:val="212121"/>
          <w:szCs w:val="24"/>
        </w:rPr>
      </w:pPr>
      <w:r w:rsidRPr="003077DD">
        <w:rPr>
          <w:color w:val="212121"/>
          <w:szCs w:val="24"/>
        </w:rPr>
        <w:t>2.</w:t>
      </w:r>
      <w:r>
        <w:rPr>
          <w:color w:val="212121"/>
          <w:szCs w:val="24"/>
        </w:rPr>
        <w:t xml:space="preserve"> </w:t>
      </w:r>
      <w:proofErr w:type="spellStart"/>
      <w:r w:rsidRPr="003077DD">
        <w:rPr>
          <w:color w:val="212121"/>
          <w:szCs w:val="24"/>
        </w:rPr>
        <w:t>Taffarel</w:t>
      </w:r>
      <w:proofErr w:type="spellEnd"/>
      <w:r w:rsidRPr="003077DD">
        <w:rPr>
          <w:color w:val="212121"/>
          <w:szCs w:val="24"/>
        </w:rPr>
        <w:t xml:space="preserve"> P, Jorro F, Rodríguez A, </w:t>
      </w:r>
      <w:proofErr w:type="spellStart"/>
      <w:r w:rsidRPr="003077DD">
        <w:rPr>
          <w:color w:val="212121"/>
          <w:szCs w:val="24"/>
        </w:rPr>
        <w:t>Widmer</w:t>
      </w:r>
      <w:proofErr w:type="spellEnd"/>
      <w:r w:rsidRPr="003077DD">
        <w:rPr>
          <w:color w:val="212121"/>
          <w:szCs w:val="24"/>
        </w:rPr>
        <w:t xml:space="preserve"> J, </w:t>
      </w:r>
      <w:proofErr w:type="spellStart"/>
      <w:r w:rsidRPr="003077DD">
        <w:rPr>
          <w:color w:val="212121"/>
          <w:szCs w:val="24"/>
        </w:rPr>
        <w:t>Me</w:t>
      </w:r>
      <w:r w:rsidRPr="003077DD">
        <w:rPr>
          <w:color w:val="212121"/>
          <w:szCs w:val="24"/>
        </w:rPr>
        <w:t>regalli</w:t>
      </w:r>
      <w:proofErr w:type="spellEnd"/>
      <w:r w:rsidRPr="003077DD">
        <w:rPr>
          <w:color w:val="212121"/>
          <w:szCs w:val="24"/>
        </w:rPr>
        <w:t xml:space="preserve"> C. Síndrome inflamatorio multisistémico en niños, relacionado con COVID-19: actualización a propósito de la presentación de 2 pacientes críticos. </w:t>
      </w:r>
      <w:proofErr w:type="spellStart"/>
      <w:r w:rsidRPr="003077DD">
        <w:rPr>
          <w:color w:val="212121"/>
          <w:szCs w:val="24"/>
        </w:rPr>
        <w:t>Arch</w:t>
      </w:r>
      <w:proofErr w:type="spellEnd"/>
      <w:r w:rsidRPr="003077DD">
        <w:rPr>
          <w:color w:val="212121"/>
          <w:szCs w:val="24"/>
        </w:rPr>
        <w:t xml:space="preserve"> Argent </w:t>
      </w:r>
      <w:proofErr w:type="spellStart"/>
      <w:r w:rsidRPr="003077DD">
        <w:rPr>
          <w:color w:val="212121"/>
          <w:szCs w:val="24"/>
        </w:rPr>
        <w:t>Pediatr</w:t>
      </w:r>
      <w:proofErr w:type="spellEnd"/>
      <w:r w:rsidRPr="003077DD">
        <w:rPr>
          <w:color w:val="212121"/>
          <w:szCs w:val="24"/>
        </w:rPr>
        <w:t xml:space="preserve"> 2021; 119(1):e26-e35.</w:t>
      </w:r>
    </w:p>
    <w:p w14:paraId="19B15137" w14:textId="21C2369B" w:rsidR="00036EF0" w:rsidRPr="003077DD" w:rsidRDefault="008E10BF" w:rsidP="008E10BF">
      <w:pPr>
        <w:spacing w:after="0" w:line="240" w:lineRule="auto"/>
        <w:jc w:val="left"/>
        <w:rPr>
          <w:color w:val="212121"/>
          <w:szCs w:val="24"/>
          <w:lang w:val="en-US"/>
        </w:rPr>
      </w:pPr>
      <w:r w:rsidRPr="003077DD">
        <w:rPr>
          <w:color w:val="212121"/>
          <w:szCs w:val="24"/>
        </w:rPr>
        <w:t>3.</w:t>
      </w:r>
      <w:r>
        <w:rPr>
          <w:color w:val="212121"/>
          <w:szCs w:val="24"/>
        </w:rPr>
        <w:t xml:space="preserve"> </w:t>
      </w:r>
      <w:proofErr w:type="spellStart"/>
      <w:r w:rsidRPr="003077DD">
        <w:rPr>
          <w:color w:val="212121"/>
          <w:szCs w:val="24"/>
        </w:rPr>
        <w:t>Ensinck</w:t>
      </w:r>
      <w:proofErr w:type="spellEnd"/>
      <w:r w:rsidRPr="003077DD">
        <w:rPr>
          <w:color w:val="212121"/>
          <w:szCs w:val="24"/>
        </w:rPr>
        <w:t xml:space="preserve"> G, Gregorio G, Flores R, </w:t>
      </w:r>
      <w:proofErr w:type="spellStart"/>
      <w:r w:rsidRPr="003077DD">
        <w:rPr>
          <w:color w:val="212121"/>
          <w:szCs w:val="24"/>
        </w:rPr>
        <w:t>Crowe</w:t>
      </w:r>
      <w:proofErr w:type="spellEnd"/>
      <w:r w:rsidRPr="003077DD">
        <w:rPr>
          <w:color w:val="212121"/>
          <w:szCs w:val="24"/>
        </w:rPr>
        <w:t xml:space="preserve"> C, </w:t>
      </w:r>
      <w:proofErr w:type="spellStart"/>
      <w:r w:rsidRPr="003077DD">
        <w:rPr>
          <w:color w:val="212121"/>
          <w:szCs w:val="24"/>
        </w:rPr>
        <w:t>Clerico</w:t>
      </w:r>
      <w:proofErr w:type="spellEnd"/>
      <w:r w:rsidRPr="003077DD">
        <w:rPr>
          <w:color w:val="212121"/>
          <w:szCs w:val="24"/>
        </w:rPr>
        <w:t xml:space="preserve"> P, </w:t>
      </w:r>
      <w:proofErr w:type="spellStart"/>
      <w:r w:rsidRPr="003077DD">
        <w:rPr>
          <w:color w:val="212121"/>
          <w:szCs w:val="24"/>
        </w:rPr>
        <w:t>Curi</w:t>
      </w:r>
      <w:proofErr w:type="spellEnd"/>
      <w:r w:rsidRPr="003077DD">
        <w:rPr>
          <w:color w:val="212121"/>
          <w:szCs w:val="24"/>
        </w:rPr>
        <w:t xml:space="preserve"> C, et al. Consenso sobre el tratamiento del síndrome inflamatorio multisistémico asociado a COVID-19. </w:t>
      </w:r>
      <w:r w:rsidRPr="003077DD">
        <w:rPr>
          <w:color w:val="212121"/>
          <w:szCs w:val="24"/>
          <w:lang w:val="en-US"/>
        </w:rPr>
        <w:t xml:space="preserve">Arch Argent </w:t>
      </w:r>
      <w:proofErr w:type="spellStart"/>
      <w:r w:rsidRPr="003077DD">
        <w:rPr>
          <w:color w:val="212121"/>
          <w:szCs w:val="24"/>
          <w:lang w:val="en-US"/>
        </w:rPr>
        <w:t>Pediatr</w:t>
      </w:r>
      <w:proofErr w:type="spellEnd"/>
      <w:r w:rsidRPr="003077DD">
        <w:rPr>
          <w:color w:val="212121"/>
          <w:szCs w:val="24"/>
          <w:lang w:val="en-US"/>
        </w:rPr>
        <w:t xml:space="preserve"> 2021; 119(4):S198-S211.</w:t>
      </w:r>
    </w:p>
    <w:p w14:paraId="428568B9" w14:textId="7E947814" w:rsidR="00036EF0" w:rsidRPr="003077DD" w:rsidRDefault="008E10BF" w:rsidP="008E10BF">
      <w:pPr>
        <w:spacing w:after="0" w:line="240" w:lineRule="auto"/>
        <w:jc w:val="left"/>
        <w:rPr>
          <w:color w:val="212121"/>
          <w:szCs w:val="24"/>
          <w:lang w:val="en-US"/>
        </w:rPr>
      </w:pPr>
      <w:r w:rsidRPr="003077DD">
        <w:rPr>
          <w:color w:val="212121"/>
          <w:szCs w:val="24"/>
          <w:lang w:val="en-US"/>
        </w:rPr>
        <w:t>4.</w:t>
      </w:r>
      <w:r>
        <w:rPr>
          <w:color w:val="212121"/>
          <w:szCs w:val="24"/>
          <w:lang w:val="en-US"/>
        </w:rPr>
        <w:t xml:space="preserve"> </w:t>
      </w:r>
      <w:r w:rsidRPr="003077DD">
        <w:rPr>
          <w:color w:val="212121"/>
          <w:szCs w:val="24"/>
          <w:lang w:val="en-US"/>
        </w:rPr>
        <w:t xml:space="preserve">Whittaker E, Bamford A, Kenny J, </w:t>
      </w:r>
      <w:proofErr w:type="spellStart"/>
      <w:r w:rsidRPr="003077DD">
        <w:rPr>
          <w:color w:val="212121"/>
          <w:szCs w:val="24"/>
          <w:lang w:val="en-US"/>
        </w:rPr>
        <w:t>Kaforou</w:t>
      </w:r>
      <w:proofErr w:type="spellEnd"/>
      <w:r w:rsidRPr="003077DD">
        <w:rPr>
          <w:color w:val="212121"/>
          <w:szCs w:val="24"/>
          <w:lang w:val="en-US"/>
        </w:rPr>
        <w:t xml:space="preserve"> M, Jones C, Shah P, et al. Clinical characteristics of 58 childre</w:t>
      </w:r>
      <w:r w:rsidRPr="003077DD">
        <w:rPr>
          <w:color w:val="212121"/>
          <w:szCs w:val="24"/>
          <w:lang w:val="en-US"/>
        </w:rPr>
        <w:t>n with a pediatric inflammatory multisystem syndrome temporally associated with SARS-CoV-2. JAMA 2020; 324(3):259-69.</w:t>
      </w:r>
    </w:p>
    <w:p w14:paraId="130F4E76" w14:textId="55C7B5CA" w:rsidR="00036EF0" w:rsidRPr="003077DD" w:rsidRDefault="008E10BF" w:rsidP="008E10BF">
      <w:pPr>
        <w:spacing w:after="0" w:line="240" w:lineRule="auto"/>
        <w:jc w:val="left"/>
        <w:rPr>
          <w:color w:val="212121"/>
          <w:szCs w:val="24"/>
        </w:rPr>
      </w:pPr>
      <w:r w:rsidRPr="003077DD">
        <w:rPr>
          <w:color w:val="212121"/>
          <w:szCs w:val="24"/>
          <w:lang w:val="en-US"/>
        </w:rPr>
        <w:t>5.</w:t>
      </w:r>
      <w:r>
        <w:rPr>
          <w:color w:val="212121"/>
          <w:szCs w:val="24"/>
          <w:lang w:val="en-US"/>
        </w:rPr>
        <w:t xml:space="preserve"> </w:t>
      </w:r>
      <w:r w:rsidRPr="003077DD">
        <w:rPr>
          <w:color w:val="212121"/>
          <w:szCs w:val="24"/>
          <w:lang w:val="en-US"/>
        </w:rPr>
        <w:t xml:space="preserve">Fergie J, Srivastava A. Immunity to SARS-CoV-2: lessons learned. </w:t>
      </w:r>
      <w:r w:rsidRPr="003077DD">
        <w:rPr>
          <w:color w:val="212121"/>
          <w:szCs w:val="24"/>
        </w:rPr>
        <w:t xml:space="preserve">Front </w:t>
      </w:r>
      <w:proofErr w:type="spellStart"/>
      <w:r w:rsidRPr="003077DD">
        <w:rPr>
          <w:color w:val="212121"/>
          <w:szCs w:val="24"/>
        </w:rPr>
        <w:t>Immunol</w:t>
      </w:r>
      <w:proofErr w:type="spellEnd"/>
      <w:r w:rsidRPr="003077DD">
        <w:rPr>
          <w:color w:val="212121"/>
          <w:szCs w:val="24"/>
        </w:rPr>
        <w:t xml:space="preserve"> 2021; 12:654165. </w:t>
      </w:r>
      <w:proofErr w:type="spellStart"/>
      <w:r w:rsidRPr="003077DD">
        <w:rPr>
          <w:color w:val="212121"/>
          <w:szCs w:val="24"/>
        </w:rPr>
        <w:t>doi</w:t>
      </w:r>
      <w:proofErr w:type="spellEnd"/>
      <w:r w:rsidRPr="003077DD">
        <w:rPr>
          <w:color w:val="212121"/>
          <w:szCs w:val="24"/>
        </w:rPr>
        <w:t>: 10.3389/fimmu.2021.654165.</w:t>
      </w:r>
    </w:p>
    <w:p w14:paraId="4D41C2C2" w14:textId="77777777" w:rsidR="00036EF0" w:rsidRPr="003077DD" w:rsidRDefault="00036EF0" w:rsidP="008E10BF">
      <w:pPr>
        <w:spacing w:after="0" w:line="240" w:lineRule="auto"/>
        <w:jc w:val="left"/>
        <w:rPr>
          <w:color w:val="212121"/>
          <w:szCs w:val="24"/>
        </w:rPr>
      </w:pPr>
    </w:p>
    <w:p w14:paraId="13292C78" w14:textId="193DA971" w:rsidR="008E10BF" w:rsidRPr="00D00CE2" w:rsidRDefault="008E10BF" w:rsidP="008E10BF">
      <w:pPr>
        <w:spacing w:after="0" w:line="240" w:lineRule="auto"/>
        <w:jc w:val="left"/>
        <w:rPr>
          <w:szCs w:val="24"/>
        </w:rPr>
      </w:pPr>
      <w:r w:rsidRPr="008E10BF">
        <w:rPr>
          <w:b/>
          <w:szCs w:val="24"/>
        </w:rPr>
        <w:t xml:space="preserve">Nota: </w:t>
      </w:r>
      <w:r w:rsidRPr="00D00CE2">
        <w:rPr>
          <w:szCs w:val="24"/>
        </w:rPr>
        <w:t>COMEPA IAMPP</w:t>
      </w:r>
    </w:p>
    <w:p w14:paraId="17028B53" w14:textId="396CF833" w:rsidR="00D00CE2" w:rsidRPr="00D00CE2" w:rsidRDefault="008E10BF" w:rsidP="008E10BF">
      <w:pPr>
        <w:spacing w:after="0" w:line="240" w:lineRule="auto"/>
        <w:jc w:val="left"/>
        <w:rPr>
          <w:szCs w:val="24"/>
        </w:rPr>
      </w:pPr>
      <w:r w:rsidRPr="008E10BF">
        <w:rPr>
          <w:b/>
          <w:szCs w:val="24"/>
        </w:rPr>
        <w:t xml:space="preserve">Nota: </w:t>
      </w:r>
      <w:r w:rsidR="00D00CE2" w:rsidRPr="00D00CE2">
        <w:rPr>
          <w:szCs w:val="24"/>
        </w:rPr>
        <w:t>Todos los autores declaran haber colaborado en forma significativa</w:t>
      </w:r>
    </w:p>
    <w:p w14:paraId="4CB0A35A" w14:textId="3AE26FB5" w:rsidR="00D00CE2" w:rsidRDefault="008E10BF" w:rsidP="008E10BF">
      <w:pPr>
        <w:spacing w:after="0" w:line="240" w:lineRule="auto"/>
        <w:jc w:val="left"/>
        <w:rPr>
          <w:szCs w:val="24"/>
        </w:rPr>
      </w:pPr>
      <w:r w:rsidRPr="008E10BF">
        <w:rPr>
          <w:b/>
          <w:szCs w:val="24"/>
        </w:rPr>
        <w:t>Nota:</w:t>
      </w:r>
      <w:r>
        <w:rPr>
          <w:b/>
          <w:szCs w:val="24"/>
        </w:rPr>
        <w:t xml:space="preserve"> </w:t>
      </w:r>
      <w:r w:rsidR="00D00CE2" w:rsidRPr="00D00CE2">
        <w:rPr>
          <w:szCs w:val="24"/>
        </w:rPr>
        <w:t>No ha sido sometido nunca a consideración de otras publicaciones.</w:t>
      </w:r>
    </w:p>
    <w:p w14:paraId="2F7780CC" w14:textId="6E7E4438" w:rsidR="00D00CE2" w:rsidRDefault="008E10BF" w:rsidP="008E10BF">
      <w:pPr>
        <w:spacing w:after="0" w:line="240" w:lineRule="auto"/>
        <w:jc w:val="left"/>
        <w:rPr>
          <w:szCs w:val="24"/>
        </w:rPr>
      </w:pPr>
      <w:r w:rsidRPr="008E10BF">
        <w:rPr>
          <w:b/>
          <w:szCs w:val="24"/>
        </w:rPr>
        <w:t>Nota:</w:t>
      </w:r>
      <w:r>
        <w:rPr>
          <w:b/>
          <w:szCs w:val="24"/>
        </w:rPr>
        <w:t xml:space="preserve"> </w:t>
      </w:r>
      <w:r w:rsidR="00D00CE2" w:rsidRPr="00D00CE2">
        <w:rPr>
          <w:szCs w:val="24"/>
        </w:rPr>
        <w:t>Trabajo inédito.</w:t>
      </w:r>
    </w:p>
    <w:p w14:paraId="1694E86E" w14:textId="0B0E15C5" w:rsidR="00D00CE2" w:rsidRDefault="008E10BF" w:rsidP="008E10BF">
      <w:pPr>
        <w:spacing w:after="0" w:line="240" w:lineRule="auto"/>
        <w:jc w:val="left"/>
        <w:rPr>
          <w:szCs w:val="24"/>
        </w:rPr>
      </w:pPr>
      <w:r w:rsidRPr="008E10BF">
        <w:rPr>
          <w:b/>
          <w:szCs w:val="24"/>
        </w:rPr>
        <w:t>Nota:</w:t>
      </w:r>
      <w:r>
        <w:rPr>
          <w:b/>
          <w:szCs w:val="24"/>
        </w:rPr>
        <w:t xml:space="preserve"> </w:t>
      </w:r>
      <w:r w:rsidR="00D00CE2" w:rsidRPr="00D00CE2">
        <w:rPr>
          <w:szCs w:val="24"/>
        </w:rPr>
        <w:t>Declaramos que no tenemos conflictos de intereses.</w:t>
      </w:r>
      <w:bookmarkStart w:id="0" w:name="_GoBack"/>
      <w:bookmarkEnd w:id="0"/>
    </w:p>
    <w:sectPr w:rsidR="00D00CE2">
      <w:pgSz w:w="10772" w:h="15591"/>
      <w:pgMar w:top="1701" w:right="850"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E4"/>
    <w:rsid w:val="00036EF0"/>
    <w:rsid w:val="00085106"/>
    <w:rsid w:val="001562CD"/>
    <w:rsid w:val="002425CD"/>
    <w:rsid w:val="003077DD"/>
    <w:rsid w:val="008E10BF"/>
    <w:rsid w:val="00C06EE4"/>
    <w:rsid w:val="00D00CE2"/>
    <w:rsid w:val="00D142E8"/>
    <w:rsid w:val="00D8737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C26D5"/>
  <w14:defaultImageDpi w14:val="0"/>
  <w15:docId w15:val="{E3F64D48-84A0-4B36-AA2C-20E5ED73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Y" w:eastAsia="es-U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7DD"/>
    <w:pPr>
      <w:spacing w:after="40"/>
      <w:jc w:val="both"/>
    </w:pPr>
    <w:rPr>
      <w:rFonts w:ascii="Verdana" w:hAnsi="Verdan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ngnestilodeprrafo">
    <w:name w:val="[Ningún estilo de párrafo]"/>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paragraph" w:customStyle="1" w:styleId="Prrafobsico">
    <w:name w:val="[Párrafo básico]"/>
    <w:basedOn w:val="Ningnestilodeprrafo"/>
    <w:uiPriority w:val="99"/>
    <w:pPr>
      <w:spacing w:line="240" w:lineRule="atLeast"/>
      <w:ind w:firstLine="283"/>
      <w:jc w:val="both"/>
    </w:pPr>
    <w:rPr>
      <w:rFonts w:ascii="Times New Roman" w:hAnsi="Times New Roman" w:cs="Times New Roman"/>
      <w:sz w:val="20"/>
      <w:szCs w:val="20"/>
    </w:rPr>
  </w:style>
  <w:style w:type="paragraph" w:customStyle="1" w:styleId="sub1">
    <w:name w:val="sub 1"/>
    <w:basedOn w:val="Prrafobsico"/>
    <w:uiPriority w:val="99"/>
    <w:pPr>
      <w:suppressAutoHyphens/>
      <w:spacing w:before="255" w:after="91"/>
      <w:ind w:firstLine="0"/>
      <w:jc w:val="left"/>
    </w:pPr>
    <w:rPr>
      <w:rFonts w:ascii="Candara" w:hAnsi="Candara" w:cs="Candara"/>
      <w:b/>
      <w:bCs/>
      <w:color w:val="0000BF"/>
      <w:sz w:val="24"/>
      <w:szCs w:val="24"/>
    </w:rPr>
  </w:style>
  <w:style w:type="paragraph" w:customStyle="1" w:styleId="primer">
    <w:name w:val="primer"/>
    <w:basedOn w:val="Ningnestilodeprrafo"/>
    <w:uiPriority w:val="99"/>
    <w:pPr>
      <w:spacing w:line="240" w:lineRule="atLeast"/>
      <w:jc w:val="both"/>
    </w:pPr>
    <w:rPr>
      <w:rFonts w:ascii="Times New Roman" w:hAnsi="Times New Roman" w:cs="Times New Roman"/>
      <w:sz w:val="20"/>
      <w:szCs w:val="20"/>
    </w:rPr>
  </w:style>
  <w:style w:type="paragraph" w:customStyle="1" w:styleId="copete">
    <w:name w:val="copete"/>
    <w:basedOn w:val="primer"/>
    <w:uiPriority w:val="99"/>
    <w:pPr>
      <w:spacing w:line="280" w:lineRule="atLeast"/>
    </w:pPr>
    <w:rPr>
      <w:rFonts w:ascii="Candara" w:hAnsi="Candara" w:cs="Candara"/>
      <w:sz w:val="22"/>
      <w:szCs w:val="22"/>
    </w:rPr>
  </w:style>
  <w:style w:type="paragraph" w:customStyle="1" w:styleId="palabrasclave">
    <w:name w:val="palabras clave"/>
    <w:basedOn w:val="copete"/>
    <w:uiPriority w:val="99"/>
    <w:pPr>
      <w:tabs>
        <w:tab w:val="left" w:pos="1140"/>
      </w:tabs>
      <w:jc w:val="left"/>
    </w:pPr>
  </w:style>
  <w:style w:type="paragraph" w:customStyle="1" w:styleId="bib">
    <w:name w:val="bib"/>
    <w:basedOn w:val="Ningnestilodeprrafo"/>
    <w:uiPriority w:val="99"/>
    <w:pPr>
      <w:spacing w:line="204" w:lineRule="atLeast"/>
      <w:ind w:left="283" w:hanging="283"/>
      <w:jc w:val="both"/>
    </w:pPr>
    <w:rPr>
      <w:rFonts w:ascii="Times New Roman" w:hAnsi="Times New Roman" w:cs="Times New Roman"/>
      <w:sz w:val="17"/>
      <w:szCs w:val="17"/>
    </w:rPr>
  </w:style>
  <w:style w:type="character" w:customStyle="1" w:styleId="azul">
    <w:name w:val="azul"/>
    <w:uiPriority w:val="99"/>
    <w:rPr>
      <w:rFonts w:ascii="Candara" w:hAnsi="Candara" w:cs="Candara"/>
      <w:b/>
      <w:bCs/>
      <w:color w:val="0000BF"/>
    </w:rPr>
  </w:style>
  <w:style w:type="character" w:styleId="Hipervnculo">
    <w:name w:val="Hyperlink"/>
    <w:basedOn w:val="Fuentedeprrafopredeter"/>
    <w:uiPriority w:val="99"/>
    <w:unhideWhenUsed/>
    <w:rsid w:val="00D00CE2"/>
    <w:rPr>
      <w:color w:val="0563C1" w:themeColor="hyperlink"/>
      <w:u w:val="single"/>
    </w:rPr>
  </w:style>
  <w:style w:type="character" w:customStyle="1" w:styleId="UnresolvedMention">
    <w:name w:val="Unresolved Mention"/>
    <w:basedOn w:val="Fuentedeprrafopredeter"/>
    <w:uiPriority w:val="99"/>
    <w:semiHidden/>
    <w:unhideWhenUsed/>
    <w:rsid w:val="00D00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2422</Words>
  <Characters>13322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Barreto</dc:creator>
  <cp:keywords/>
  <dc:description/>
  <cp:lastModifiedBy>biblioteca</cp:lastModifiedBy>
  <cp:revision>8</cp:revision>
  <dcterms:created xsi:type="dcterms:W3CDTF">2022-08-05T12:25:00Z</dcterms:created>
  <dcterms:modified xsi:type="dcterms:W3CDTF">2022-08-11T15:58:00Z</dcterms:modified>
</cp:coreProperties>
</file>